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pStyle w:val="20"/>
        <w:spacing w:line="240" w:lineRule="auto"/>
        <w:ind w:right="0" w:rightChars="0"/>
        <w:jc w:val="center"/>
        <w:rPr>
          <w:rFonts w:hint="eastAsia" w:ascii="方正小标宋简体" w:hAnsi="方正小标宋简体" w:eastAsia="方正小标宋简体" w:cs="方正小标宋简体"/>
          <w:sz w:val="44"/>
          <w:szCs w:val="44"/>
        </w:rPr>
      </w:pPr>
      <w:bookmarkStart w:id="0" w:name="_Toc2558"/>
      <w:r>
        <w:rPr>
          <w:rFonts w:hint="eastAsia" w:ascii="方正小标宋简体" w:hAnsi="方正小标宋简体" w:eastAsia="方正小标宋简体" w:cs="方正小标宋简体"/>
          <w:color w:val="auto"/>
          <w:sz w:val="44"/>
          <w:szCs w:val="44"/>
        </w:rPr>
        <w:t>财务报销制度及报销流程</w:t>
      </w:r>
      <w:bookmarkEnd w:id="0"/>
    </w:p>
    <w:p>
      <w:pPr>
        <w:rPr>
          <w:rFonts w:hint="eastAsia" w:ascii="宋体" w:hAnsi="宋体" w:eastAsia="宋体" w:cs="宋体"/>
          <w:sz w:val="22"/>
          <w:szCs w:val="21"/>
        </w:rPr>
      </w:pPr>
    </w:p>
    <w:sdt>
      <w:sdtPr>
        <w:rPr>
          <w:rFonts w:hint="eastAsia" w:ascii="宋体" w:hAnsi="宋体" w:eastAsia="宋体" w:cs="宋体"/>
          <w:kern w:val="2"/>
          <w:sz w:val="22"/>
          <w:szCs w:val="21"/>
          <w:lang w:val="en-US" w:eastAsia="zh-CN" w:bidi="ar-SA"/>
        </w:rPr>
        <w:id w:val="147475278"/>
        <w15:color w:val="DBDBDB"/>
        <w:docPartObj>
          <w:docPartGallery w:val="Table of Contents"/>
          <w:docPartUnique/>
        </w:docPartObj>
      </w:sdtPr>
      <w:sdtEndPr>
        <w:rPr>
          <w:rFonts w:hint="eastAsia" w:ascii="Verdana" w:hAnsi="Verdana" w:eastAsia="宋体" w:cs="宋体"/>
          <w:bCs/>
          <w:kern w:val="36"/>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2"/>
              <w:szCs w:val="32"/>
            </w:rPr>
          </w:pPr>
          <w:r>
            <w:rPr>
              <w:rFonts w:hint="eastAsia" w:ascii="宋体" w:hAnsi="宋体" w:eastAsia="宋体" w:cs="宋体"/>
              <w:sz w:val="40"/>
              <w:szCs w:val="40"/>
            </w:rPr>
            <w:t>目录</w:t>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TOC \o "1-1" \h \u </w:instrText>
          </w:r>
          <w:r>
            <w:rPr>
              <w:rFonts w:hint="eastAsia" w:ascii="宋体" w:hAnsi="宋体" w:eastAsia="宋体" w:cs="宋体"/>
              <w:bCs/>
              <w:kern w:val="36"/>
              <w:sz w:val="32"/>
              <w:szCs w:val="32"/>
            </w:rPr>
            <w:fldChar w:fldCharType="separate"/>
          </w: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_Toc2558 </w:instrText>
          </w:r>
          <w:r>
            <w:rPr>
              <w:rFonts w:hint="eastAsia" w:ascii="宋体" w:hAnsi="宋体" w:eastAsia="宋体" w:cs="宋体"/>
              <w:bCs/>
              <w:kern w:val="36"/>
              <w:sz w:val="32"/>
              <w:szCs w:val="32"/>
            </w:rPr>
            <w:fldChar w:fldCharType="separate"/>
          </w:r>
          <w:r>
            <w:rPr>
              <w:rFonts w:hint="eastAsia" w:ascii="宋体" w:hAnsi="宋体" w:eastAsia="宋体" w:cs="宋体"/>
              <w:sz w:val="32"/>
              <w:szCs w:val="32"/>
            </w:rPr>
            <w:t>财务报销制度及报销流程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_Toc2558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_Toc11316 </w:instrText>
          </w:r>
          <w:r>
            <w:rPr>
              <w:rFonts w:hint="eastAsia" w:ascii="宋体" w:hAnsi="宋体" w:eastAsia="宋体" w:cs="宋体"/>
              <w:bCs/>
              <w:kern w:val="36"/>
              <w:sz w:val="32"/>
              <w:szCs w:val="32"/>
            </w:rPr>
            <w:fldChar w:fldCharType="separate"/>
          </w:r>
          <w:r>
            <w:rPr>
              <w:rFonts w:hint="eastAsia" w:ascii="宋体" w:hAnsi="宋体" w:eastAsia="宋体" w:cs="宋体"/>
              <w:sz w:val="32"/>
              <w:szCs w:val="32"/>
            </w:rPr>
            <w:t>第一章 总则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_Toc11316 </w:instrText>
          </w:r>
          <w:r>
            <w:rPr>
              <w:rFonts w:hint="eastAsia" w:ascii="宋体" w:hAnsi="宋体" w:eastAsia="宋体" w:cs="宋体"/>
              <w:sz w:val="32"/>
              <w:szCs w:val="32"/>
            </w:rPr>
            <w:fldChar w:fldCharType="separate"/>
          </w:r>
          <w:r>
            <w:rPr>
              <w:rFonts w:hint="eastAsia" w:ascii="宋体" w:hAnsi="宋体" w:eastAsia="宋体" w:cs="宋体"/>
              <w:sz w:val="32"/>
              <w:szCs w:val="32"/>
            </w:rPr>
            <w:t>- 2 -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_Toc2804 </w:instrText>
          </w:r>
          <w:r>
            <w:rPr>
              <w:rFonts w:hint="eastAsia" w:ascii="宋体" w:hAnsi="宋体" w:eastAsia="宋体" w:cs="宋体"/>
              <w:bCs/>
              <w:kern w:val="36"/>
              <w:sz w:val="32"/>
              <w:szCs w:val="32"/>
            </w:rPr>
            <w:fldChar w:fldCharType="separate"/>
          </w:r>
          <w:r>
            <w:rPr>
              <w:rFonts w:hint="eastAsia" w:ascii="宋体" w:hAnsi="宋体" w:eastAsia="宋体" w:cs="宋体"/>
              <w:kern w:val="0"/>
              <w:sz w:val="32"/>
              <w:szCs w:val="32"/>
            </w:rPr>
            <w:t xml:space="preserve">第二章 </w:t>
          </w:r>
          <w:r>
            <w:rPr>
              <w:rFonts w:hint="eastAsia" w:ascii="宋体" w:hAnsi="宋体" w:eastAsia="宋体" w:cs="宋体"/>
              <w:sz w:val="32"/>
              <w:szCs w:val="32"/>
            </w:rPr>
            <w:t>费用报销凭证的规范</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_Toc2804 </w:instrText>
          </w:r>
          <w:r>
            <w:rPr>
              <w:rFonts w:hint="eastAsia" w:ascii="宋体" w:hAnsi="宋体" w:eastAsia="宋体" w:cs="宋体"/>
              <w:sz w:val="32"/>
              <w:szCs w:val="32"/>
            </w:rPr>
            <w:fldChar w:fldCharType="separate"/>
          </w:r>
          <w:r>
            <w:rPr>
              <w:rFonts w:hint="eastAsia" w:ascii="宋体" w:hAnsi="宋体" w:eastAsia="宋体" w:cs="宋体"/>
              <w:sz w:val="32"/>
              <w:szCs w:val="32"/>
            </w:rPr>
            <w:t>- 2 -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_Toc3195 </w:instrText>
          </w:r>
          <w:r>
            <w:rPr>
              <w:rFonts w:hint="eastAsia" w:ascii="宋体" w:hAnsi="宋体" w:eastAsia="宋体" w:cs="宋体"/>
              <w:bCs/>
              <w:kern w:val="36"/>
              <w:sz w:val="32"/>
              <w:szCs w:val="32"/>
            </w:rPr>
            <w:fldChar w:fldCharType="separate"/>
          </w:r>
          <w:r>
            <w:rPr>
              <w:rFonts w:hint="eastAsia" w:ascii="宋体" w:hAnsi="宋体" w:eastAsia="宋体" w:cs="宋体"/>
              <w:sz w:val="32"/>
              <w:szCs w:val="32"/>
            </w:rPr>
            <w:t>第三章 内部控制及一般流程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_Toc3195 </w:instrText>
          </w:r>
          <w:r>
            <w:rPr>
              <w:rFonts w:hint="eastAsia" w:ascii="宋体" w:hAnsi="宋体" w:eastAsia="宋体" w:cs="宋体"/>
              <w:sz w:val="32"/>
              <w:szCs w:val="32"/>
            </w:rPr>
            <w:fldChar w:fldCharType="separate"/>
          </w:r>
          <w:r>
            <w:rPr>
              <w:rFonts w:hint="eastAsia" w:ascii="宋体" w:hAnsi="宋体" w:eastAsia="宋体" w:cs="宋体"/>
              <w:sz w:val="32"/>
              <w:szCs w:val="32"/>
            </w:rPr>
            <w:t>- 5 -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_Toc9407 </w:instrText>
          </w:r>
          <w:r>
            <w:rPr>
              <w:rFonts w:hint="eastAsia" w:ascii="宋体" w:hAnsi="宋体" w:eastAsia="宋体" w:cs="宋体"/>
              <w:bCs/>
              <w:kern w:val="36"/>
              <w:sz w:val="32"/>
              <w:szCs w:val="32"/>
            </w:rPr>
            <w:fldChar w:fldCharType="separate"/>
          </w:r>
          <w:r>
            <w:rPr>
              <w:rFonts w:hint="eastAsia" w:ascii="宋体" w:hAnsi="宋体" w:eastAsia="宋体" w:cs="宋体"/>
              <w:vanish/>
              <w:sz w:val="32"/>
              <w:szCs w:val="32"/>
            </w:rPr>
            <w:drawing>
              <wp:inline distT="0" distB="0" distL="0" distR="0">
                <wp:extent cx="914400" cy="2254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14400" cy="225425"/>
                        </a:xfrm>
                        <a:prstGeom prst="rect">
                          <a:avLst/>
                        </a:prstGeom>
                        <a:noFill/>
                        <a:ln>
                          <a:noFill/>
                        </a:ln>
                      </pic:spPr>
                    </pic:pic>
                  </a:graphicData>
                </a:graphic>
              </wp:inline>
            </w:drawing>
          </w:r>
          <w:r>
            <w:rPr>
              <w:rFonts w:hint="eastAsia" w:ascii="宋体" w:hAnsi="宋体" w:eastAsia="宋体" w:cs="宋体"/>
              <w:sz w:val="32"/>
              <w:szCs w:val="32"/>
            </w:rPr>
            <w:t>第四章 借款管理规定及借款流程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_Toc9407 </w:instrText>
          </w:r>
          <w:r>
            <w:rPr>
              <w:rFonts w:hint="eastAsia" w:ascii="宋体" w:hAnsi="宋体" w:eastAsia="宋体" w:cs="宋体"/>
              <w:sz w:val="32"/>
              <w:szCs w:val="32"/>
            </w:rPr>
            <w:fldChar w:fldCharType="separate"/>
          </w:r>
          <w:r>
            <w:rPr>
              <w:rFonts w:hint="eastAsia" w:ascii="宋体" w:hAnsi="宋体" w:eastAsia="宋体" w:cs="宋体"/>
              <w:sz w:val="32"/>
              <w:szCs w:val="32"/>
            </w:rPr>
            <w:t>- 6 -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_Toc25305 </w:instrText>
          </w:r>
          <w:r>
            <w:rPr>
              <w:rFonts w:hint="eastAsia" w:ascii="宋体" w:hAnsi="宋体" w:eastAsia="宋体" w:cs="宋体"/>
              <w:bCs/>
              <w:kern w:val="36"/>
              <w:sz w:val="32"/>
              <w:szCs w:val="32"/>
            </w:rPr>
            <w:fldChar w:fldCharType="separate"/>
          </w:r>
          <w:r>
            <w:rPr>
              <w:rFonts w:hint="eastAsia" w:ascii="宋体" w:hAnsi="宋体" w:eastAsia="宋体" w:cs="宋体"/>
              <w:sz w:val="32"/>
              <w:szCs w:val="32"/>
              <w:highlight w:val="none"/>
            </w:rPr>
            <w:t>第五章 日常费用报销规定及流程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_Toc25305 </w:instrText>
          </w:r>
          <w:r>
            <w:rPr>
              <w:rFonts w:hint="eastAsia" w:ascii="宋体" w:hAnsi="宋体" w:eastAsia="宋体" w:cs="宋体"/>
              <w:sz w:val="32"/>
              <w:szCs w:val="32"/>
            </w:rPr>
            <w:fldChar w:fldCharType="separate"/>
          </w:r>
          <w:r>
            <w:rPr>
              <w:rFonts w:hint="eastAsia" w:ascii="宋体" w:hAnsi="宋体" w:eastAsia="宋体" w:cs="宋体"/>
              <w:sz w:val="32"/>
              <w:szCs w:val="32"/>
            </w:rPr>
            <w:t>- 7 -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_Toc15242 </w:instrText>
          </w:r>
          <w:r>
            <w:rPr>
              <w:rFonts w:hint="eastAsia" w:ascii="宋体" w:hAnsi="宋体" w:eastAsia="宋体" w:cs="宋体"/>
              <w:bCs/>
              <w:kern w:val="36"/>
              <w:sz w:val="32"/>
              <w:szCs w:val="32"/>
            </w:rPr>
            <w:fldChar w:fldCharType="separate"/>
          </w:r>
          <w:r>
            <w:rPr>
              <w:rFonts w:hint="eastAsia" w:ascii="宋体" w:hAnsi="宋体" w:eastAsia="宋体" w:cs="宋体"/>
              <w:bCs/>
              <w:kern w:val="44"/>
              <w:sz w:val="32"/>
              <w:szCs w:val="32"/>
              <w:highlight w:val="none"/>
              <w:lang w:val="en-US" w:eastAsia="zh-CN" w:bidi="ar-SA"/>
            </w:rPr>
            <w:t>第六章 参加会议、培训、招待费等费用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_Toc15242 </w:instrText>
          </w:r>
          <w:r>
            <w:rPr>
              <w:rFonts w:hint="eastAsia" w:ascii="宋体" w:hAnsi="宋体" w:eastAsia="宋体" w:cs="宋体"/>
              <w:sz w:val="32"/>
              <w:szCs w:val="32"/>
            </w:rPr>
            <w:fldChar w:fldCharType="separate"/>
          </w:r>
          <w:r>
            <w:rPr>
              <w:rFonts w:hint="eastAsia" w:ascii="宋体" w:hAnsi="宋体" w:eastAsia="宋体" w:cs="宋体"/>
              <w:sz w:val="32"/>
              <w:szCs w:val="32"/>
            </w:rPr>
            <w:t>- 9 -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_Toc16749 </w:instrText>
          </w:r>
          <w:r>
            <w:rPr>
              <w:rFonts w:hint="eastAsia" w:ascii="宋体" w:hAnsi="宋体" w:eastAsia="宋体" w:cs="宋体"/>
              <w:bCs/>
              <w:kern w:val="36"/>
              <w:sz w:val="32"/>
              <w:szCs w:val="32"/>
            </w:rPr>
            <w:fldChar w:fldCharType="separate"/>
          </w:r>
          <w:r>
            <w:rPr>
              <w:rFonts w:hint="eastAsia" w:ascii="宋体" w:hAnsi="宋体" w:eastAsia="宋体" w:cs="宋体"/>
              <w:sz w:val="32"/>
              <w:szCs w:val="32"/>
              <w:highlight w:val="none"/>
              <w:lang w:val="en-US" w:eastAsia="zh-CN"/>
            </w:rPr>
            <w:t>第七章 科</w:t>
          </w:r>
          <w:r>
            <w:rPr>
              <w:rFonts w:hint="eastAsia" w:ascii="宋体" w:hAnsi="宋体" w:eastAsia="宋体" w:cs="宋体"/>
              <w:sz w:val="32"/>
              <w:szCs w:val="32"/>
              <w:highlight w:val="none"/>
            </w:rPr>
            <w:t>研经费报销</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_Toc16749 </w:instrText>
          </w:r>
          <w:r>
            <w:rPr>
              <w:rFonts w:hint="eastAsia" w:ascii="宋体" w:hAnsi="宋体" w:eastAsia="宋体" w:cs="宋体"/>
              <w:sz w:val="32"/>
              <w:szCs w:val="32"/>
            </w:rPr>
            <w:fldChar w:fldCharType="separate"/>
          </w:r>
          <w:r>
            <w:rPr>
              <w:rFonts w:hint="eastAsia" w:ascii="宋体" w:hAnsi="宋体" w:eastAsia="宋体" w:cs="宋体"/>
              <w:sz w:val="32"/>
              <w:szCs w:val="32"/>
            </w:rPr>
            <w:t>- 12 -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_Toc25870 </w:instrText>
          </w:r>
          <w:r>
            <w:rPr>
              <w:rFonts w:hint="eastAsia" w:ascii="宋体" w:hAnsi="宋体" w:eastAsia="宋体" w:cs="宋体"/>
              <w:bCs/>
              <w:kern w:val="36"/>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八</w:t>
          </w:r>
          <w:r>
            <w:rPr>
              <w:rFonts w:hint="eastAsia" w:ascii="宋体" w:hAnsi="宋体" w:eastAsia="宋体" w:cs="宋体"/>
              <w:sz w:val="32"/>
              <w:szCs w:val="32"/>
            </w:rPr>
            <w:t>章 报销</w:t>
          </w:r>
          <w:r>
            <w:rPr>
              <w:rFonts w:hint="eastAsia" w:ascii="宋体" w:hAnsi="宋体" w:eastAsia="宋体" w:cs="宋体"/>
              <w:sz w:val="32"/>
              <w:szCs w:val="32"/>
              <w:lang w:val="en-US" w:eastAsia="zh-CN"/>
            </w:rPr>
            <w:t>时效</w:t>
          </w:r>
          <w:r>
            <w:rPr>
              <w:rFonts w:hint="eastAsia" w:ascii="宋体" w:hAnsi="宋体" w:eastAsia="宋体" w:cs="宋体"/>
              <w:sz w:val="32"/>
              <w:szCs w:val="32"/>
            </w:rPr>
            <w:t>的具体规定</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_Toc25870 </w:instrText>
          </w:r>
          <w:r>
            <w:rPr>
              <w:rFonts w:hint="eastAsia" w:ascii="宋体" w:hAnsi="宋体" w:eastAsia="宋体" w:cs="宋体"/>
              <w:sz w:val="32"/>
              <w:szCs w:val="32"/>
            </w:rPr>
            <w:fldChar w:fldCharType="separate"/>
          </w:r>
          <w:r>
            <w:rPr>
              <w:rFonts w:hint="eastAsia" w:ascii="宋体" w:hAnsi="宋体" w:eastAsia="宋体" w:cs="宋体"/>
              <w:sz w:val="32"/>
              <w:szCs w:val="32"/>
            </w:rPr>
            <w:t>- 13 -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pStyle w:val="8"/>
            <w:tabs>
              <w:tab w:val="right" w:leader="dot" w:pos="9356"/>
            </w:tabs>
            <w:rPr>
              <w:rFonts w:hint="eastAsia" w:ascii="宋体" w:hAnsi="宋体" w:eastAsia="宋体" w:cs="宋体"/>
              <w:sz w:val="32"/>
              <w:szCs w:val="32"/>
            </w:rPr>
          </w:pPr>
          <w:r>
            <w:rPr>
              <w:rFonts w:hint="eastAsia" w:ascii="宋体" w:hAnsi="宋体" w:eastAsia="宋体" w:cs="宋体"/>
              <w:bCs/>
              <w:kern w:val="36"/>
              <w:sz w:val="32"/>
              <w:szCs w:val="32"/>
            </w:rPr>
            <w:fldChar w:fldCharType="begin"/>
          </w:r>
          <w:r>
            <w:rPr>
              <w:rFonts w:hint="eastAsia" w:ascii="宋体" w:hAnsi="宋体" w:eastAsia="宋体" w:cs="宋体"/>
              <w:bCs/>
              <w:kern w:val="36"/>
              <w:sz w:val="32"/>
              <w:szCs w:val="32"/>
            </w:rPr>
            <w:instrText xml:space="preserve"> HYPERLINK \l _Toc27326 </w:instrText>
          </w:r>
          <w:r>
            <w:rPr>
              <w:rFonts w:hint="eastAsia" w:ascii="宋体" w:hAnsi="宋体" w:eastAsia="宋体" w:cs="宋体"/>
              <w:bCs/>
              <w:kern w:val="36"/>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九</w:t>
          </w:r>
          <w:r>
            <w:rPr>
              <w:rFonts w:hint="eastAsia" w:ascii="宋体" w:hAnsi="宋体" w:eastAsia="宋体" w:cs="宋体"/>
              <w:sz w:val="32"/>
              <w:szCs w:val="32"/>
            </w:rPr>
            <w:t>章 附则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_Toc27326 </w:instrText>
          </w:r>
          <w:r>
            <w:rPr>
              <w:rFonts w:hint="eastAsia" w:ascii="宋体" w:hAnsi="宋体" w:eastAsia="宋体" w:cs="宋体"/>
              <w:sz w:val="32"/>
              <w:szCs w:val="32"/>
            </w:rPr>
            <w:fldChar w:fldCharType="separate"/>
          </w:r>
          <w:r>
            <w:rPr>
              <w:rFonts w:hint="eastAsia" w:ascii="宋体" w:hAnsi="宋体" w:eastAsia="宋体" w:cs="宋体"/>
              <w:sz w:val="32"/>
              <w:szCs w:val="32"/>
            </w:rPr>
            <w:t>- 14 -</w:t>
          </w:r>
          <w:r>
            <w:rPr>
              <w:rFonts w:hint="eastAsia" w:ascii="宋体" w:hAnsi="宋体" w:eastAsia="宋体" w:cs="宋体"/>
              <w:sz w:val="32"/>
              <w:szCs w:val="32"/>
            </w:rPr>
            <w:fldChar w:fldCharType="end"/>
          </w:r>
          <w:r>
            <w:rPr>
              <w:rFonts w:hint="eastAsia" w:ascii="宋体" w:hAnsi="宋体" w:eastAsia="宋体" w:cs="宋体"/>
              <w:bCs/>
              <w:kern w:val="36"/>
              <w:sz w:val="32"/>
              <w:szCs w:val="32"/>
            </w:rPr>
            <w:fldChar w:fldCharType="end"/>
          </w:r>
        </w:p>
        <w:p>
          <w:pPr>
            <w:widowControl/>
            <w:spacing w:before="100" w:beforeAutospacing="1" w:after="100" w:afterAutospacing="1"/>
            <w:ind w:firstLine="4160" w:firstLineChars="1300"/>
            <w:outlineLvl w:val="9"/>
            <w:rPr>
              <w:rFonts w:ascii="Verdana" w:hAnsi="Verdana" w:cs="宋体"/>
              <w:bCs/>
              <w:kern w:val="36"/>
              <w:sz w:val="28"/>
              <w:szCs w:val="28"/>
            </w:rPr>
          </w:pPr>
          <w:r>
            <w:rPr>
              <w:rFonts w:hint="eastAsia" w:ascii="宋体" w:hAnsi="宋体" w:eastAsia="宋体" w:cs="宋体"/>
              <w:bCs/>
              <w:kern w:val="36"/>
              <w:sz w:val="32"/>
              <w:szCs w:val="32"/>
            </w:rPr>
            <w:fldChar w:fldCharType="end"/>
          </w:r>
        </w:p>
      </w:sdtContent>
    </w:sdt>
    <w:p>
      <w:pPr>
        <w:widowControl/>
        <w:spacing w:before="100" w:beforeAutospacing="1" w:after="100" w:afterAutospacing="1"/>
        <w:ind w:firstLine="3640" w:firstLineChars="1300"/>
        <w:outlineLvl w:val="9"/>
        <w:rPr>
          <w:rFonts w:ascii="Verdana" w:hAnsi="Verdana" w:cs="宋体"/>
          <w:bCs/>
          <w:kern w:val="36"/>
          <w:sz w:val="28"/>
          <w:szCs w:val="28"/>
        </w:rPr>
      </w:pPr>
    </w:p>
    <w:p>
      <w:pPr>
        <w:widowControl/>
        <w:spacing w:before="100" w:beforeAutospacing="1" w:after="100" w:afterAutospacing="1"/>
        <w:ind w:firstLine="3640" w:firstLineChars="1300"/>
        <w:outlineLvl w:val="9"/>
        <w:rPr>
          <w:rFonts w:ascii="Verdana" w:hAnsi="Verdana" w:cs="宋体"/>
          <w:bCs/>
          <w:kern w:val="36"/>
          <w:sz w:val="28"/>
          <w:szCs w:val="28"/>
        </w:rPr>
      </w:pPr>
    </w:p>
    <w:p>
      <w:pPr>
        <w:widowControl/>
        <w:spacing w:before="100" w:beforeAutospacing="1" w:after="100" w:afterAutospacing="1"/>
        <w:ind w:firstLine="3640" w:firstLineChars="1300"/>
        <w:outlineLvl w:val="9"/>
        <w:rPr>
          <w:rFonts w:ascii="Verdana" w:hAnsi="Verdana" w:cs="宋体"/>
          <w:bCs/>
          <w:kern w:val="36"/>
          <w:sz w:val="28"/>
          <w:szCs w:val="28"/>
        </w:rPr>
      </w:pPr>
    </w:p>
    <w:p>
      <w:pPr>
        <w:widowControl/>
        <w:spacing w:before="100" w:beforeAutospacing="1" w:after="100" w:afterAutospacing="1"/>
        <w:ind w:firstLine="3640" w:firstLineChars="1300"/>
        <w:outlineLvl w:val="9"/>
        <w:rPr>
          <w:rFonts w:ascii="Verdana" w:hAnsi="Verdana" w:cs="宋体"/>
          <w:bCs/>
          <w:kern w:val="36"/>
          <w:sz w:val="28"/>
          <w:szCs w:val="28"/>
        </w:rPr>
      </w:pPr>
    </w:p>
    <w:p>
      <w:pPr>
        <w:widowControl/>
        <w:spacing w:before="100" w:beforeAutospacing="1" w:after="100" w:afterAutospacing="1"/>
        <w:outlineLvl w:val="9"/>
        <w:rPr>
          <w:rFonts w:ascii="Verdana" w:hAnsi="Verdana" w:cs="宋体"/>
          <w:bCs/>
          <w:kern w:val="36"/>
          <w:sz w:val="28"/>
          <w:szCs w:val="28"/>
        </w:rPr>
      </w:pPr>
    </w:p>
    <w:p>
      <w:pPr>
        <w:pStyle w:val="2"/>
        <w:jc w:val="center"/>
        <w:outlineLvl w:val="0"/>
        <w:rPr>
          <w:rFonts w:hint="eastAsia" w:ascii="黑体" w:hAnsi="黑体" w:eastAsia="黑体" w:cs="黑体"/>
          <w:bCs/>
          <w:kern w:val="44"/>
          <w:sz w:val="32"/>
          <w:szCs w:val="32"/>
          <w:highlight w:val="none"/>
          <w:lang w:val="en-US" w:eastAsia="zh-CN" w:bidi="ar-SA"/>
        </w:rPr>
      </w:pPr>
      <w:bookmarkStart w:id="1" w:name="_Toc11316"/>
      <w:r>
        <w:rPr>
          <w:rFonts w:hint="eastAsia" w:ascii="黑体" w:hAnsi="黑体" w:eastAsia="黑体" w:cs="黑体"/>
          <w:bCs/>
          <w:kern w:val="44"/>
          <w:sz w:val="32"/>
          <w:szCs w:val="32"/>
          <w:highlight w:val="none"/>
          <w:lang w:val="en-US" w:eastAsia="zh-CN" w:bidi="ar-SA"/>
        </w:rPr>
        <w:t>第一章 总则</w:t>
      </w:r>
      <w:bookmarkEnd w:id="1"/>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财务管理，规范</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财务报销行为,合理控制费用支出，提高资金使用效益，根据国家有关法律、法规和各项财政政策，结合本</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的具体情况特制定本制度。</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本制度根据相关的财经制度及</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的实际情况，将财务报销分为日常办公费用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包括行政、教学及学生费用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教学费差旅费、交通费、课题费</w:t>
      </w:r>
      <w:r>
        <w:rPr>
          <w:rFonts w:hint="eastAsia" w:ascii="仿宋_GB2312" w:hAnsi="仿宋_GB2312" w:eastAsia="仿宋_GB2312" w:cs="仿宋_GB2312"/>
          <w:sz w:val="32"/>
          <w:szCs w:val="32"/>
        </w:rPr>
        <w:t xml:space="preserve">等。 </w:t>
      </w:r>
    </w:p>
    <w:p>
      <w:pPr>
        <w:numPr>
          <w:ilvl w:val="0"/>
          <w:numId w:val="0"/>
        </w:numPr>
        <w:ind w:firstLine="640" w:firstLineChars="200"/>
        <w:rPr>
          <w:rFonts w:ascii="宋体" w:hAnsi="宋体" w:cs="宋体"/>
          <w:kern w:val="0"/>
          <w:sz w:val="28"/>
          <w:szCs w:val="28"/>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本制度适用</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全体</w:t>
      </w:r>
      <w:r>
        <w:rPr>
          <w:rFonts w:hint="eastAsia" w:ascii="仿宋_GB2312" w:hAnsi="仿宋_GB2312" w:eastAsia="仿宋_GB2312" w:cs="仿宋_GB2312"/>
          <w:sz w:val="32"/>
          <w:szCs w:val="32"/>
          <w:lang w:val="en-US" w:eastAsia="zh-CN"/>
        </w:rPr>
        <w:t>教职工</w:t>
      </w:r>
      <w:r>
        <w:rPr>
          <w:rFonts w:hint="eastAsia" w:ascii="仿宋_GB2312" w:hAnsi="仿宋_GB2312" w:eastAsia="仿宋_GB2312" w:cs="仿宋_GB2312"/>
          <w:sz w:val="32"/>
          <w:szCs w:val="32"/>
        </w:rPr>
        <w:t>。</w:t>
      </w:r>
      <w:r>
        <w:rPr>
          <w:rFonts w:hint="eastAsia" w:ascii="宋体" w:hAnsi="宋体"/>
          <w:kern w:val="0"/>
          <w:sz w:val="28"/>
          <w:szCs w:val="28"/>
        </w:rPr>
        <w:t xml:space="preserve"> </w:t>
      </w:r>
    </w:p>
    <w:p>
      <w:pPr>
        <w:pStyle w:val="2"/>
        <w:jc w:val="center"/>
        <w:outlineLvl w:val="0"/>
        <w:rPr>
          <w:rFonts w:hint="eastAsia" w:ascii="黑体" w:hAnsi="黑体" w:eastAsia="黑体" w:cs="黑体"/>
          <w:bCs/>
          <w:kern w:val="44"/>
          <w:sz w:val="32"/>
          <w:szCs w:val="32"/>
          <w:highlight w:val="none"/>
          <w:lang w:val="en-US" w:eastAsia="zh-CN" w:bidi="ar-SA"/>
        </w:rPr>
      </w:pPr>
      <w:bookmarkStart w:id="2" w:name="_Toc2804"/>
      <w:r>
        <w:rPr>
          <w:rFonts w:hint="eastAsia" w:ascii="黑体" w:hAnsi="黑体" w:eastAsia="黑体" w:cs="黑体"/>
          <w:bCs/>
          <w:kern w:val="44"/>
          <w:sz w:val="32"/>
          <w:szCs w:val="32"/>
          <w:highlight w:val="none"/>
          <w:lang w:val="en-US" w:eastAsia="zh-CN" w:bidi="ar-SA"/>
        </w:rPr>
        <w:t>第二章 费用报销凭证的规范</w:t>
      </w:r>
      <w:bookmarkEnd w:id="2"/>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报销单填写</w:t>
      </w:r>
      <w:r>
        <w:rPr>
          <w:rFonts w:hint="eastAsia" w:ascii="仿宋_GB2312" w:hAnsi="仿宋_GB2312" w:eastAsia="仿宋_GB2312" w:cs="仿宋_GB2312"/>
          <w:sz w:val="32"/>
          <w:szCs w:val="32"/>
          <w:lang w:val="en-US" w:eastAsia="zh-CN"/>
        </w:rPr>
        <w:t>及原始凭证的要求</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1.费用报销单需填写完整：包括部门、日期、内容、</w:t>
      </w:r>
      <w:r>
        <w:rPr>
          <w:rFonts w:hint="eastAsia" w:ascii="仿宋_GB2312" w:hAnsi="仿宋_GB2312" w:eastAsia="仿宋_GB2312" w:cs="仿宋_GB2312"/>
          <w:sz w:val="32"/>
          <w:szCs w:val="32"/>
          <w:highlight w:val="none"/>
          <w:lang w:val="en-US" w:eastAsia="zh-CN"/>
        </w:rPr>
        <w:t>收款人信息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大小写金额、合计数.附件张数、报销人签字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注：金额处不能留有空格，金额要完整到元、角、分,在财务有借款的需注明。</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2.金额大写要准确：零 壹 贰 叁 肆 伍 </w:t>
      </w:r>
      <w:r>
        <w:rPr>
          <w:rFonts w:hint="eastAsia" w:ascii="仿宋_GB2312" w:hAnsi="仿宋_GB2312" w:eastAsia="仿宋_GB2312" w:cs="仿宋_GB2312"/>
          <w:sz w:val="32"/>
          <w:szCs w:val="32"/>
          <w:lang w:val="en-US" w:eastAsia="zh-CN"/>
        </w:rPr>
        <w:t>陆</w:t>
      </w:r>
      <w:r>
        <w:rPr>
          <w:rFonts w:hint="eastAsia" w:ascii="仿宋_GB2312" w:hAnsi="仿宋_GB2312" w:eastAsia="仿宋_GB2312" w:cs="仿宋_GB2312"/>
          <w:sz w:val="32"/>
          <w:szCs w:val="32"/>
        </w:rPr>
        <w:t xml:space="preserve"> 柒 捌 玖 拾 佰 仟 万 亿。</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当事人应充分取得费用的相关单据，如：合同或协议、</w:t>
      </w:r>
      <w:r>
        <w:rPr>
          <w:rFonts w:hint="eastAsia" w:ascii="仿宋_GB2312" w:hAnsi="仿宋_GB2312" w:eastAsia="仿宋_GB2312" w:cs="仿宋_GB2312"/>
          <w:sz w:val="32"/>
          <w:szCs w:val="32"/>
          <w:lang w:val="en-US" w:eastAsia="zh-CN"/>
        </w:rPr>
        <w:t>真实完整、</w:t>
      </w:r>
      <w:r>
        <w:rPr>
          <w:rFonts w:hint="eastAsia" w:ascii="仿宋_GB2312" w:hAnsi="仿宋_GB2312" w:eastAsia="仿宋_GB2312" w:cs="仿宋_GB2312"/>
          <w:sz w:val="32"/>
          <w:szCs w:val="32"/>
        </w:rPr>
        <w:t>合法的票据等。</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4.报销金额单笔大于10000元的，必须进行转账支付。</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可使用的收据：购农产品</w:t>
      </w:r>
      <w:r>
        <w:rPr>
          <w:rFonts w:hint="eastAsia" w:ascii="仿宋_GB2312" w:hAnsi="仿宋_GB2312" w:eastAsia="仿宋_GB2312" w:cs="仿宋_GB2312"/>
          <w:sz w:val="32"/>
          <w:szCs w:val="32"/>
          <w:highlight w:val="none"/>
          <w:lang w:val="en-US" w:eastAsia="zh-CN"/>
        </w:rPr>
        <w:t>收据</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政府开出的财政性收据</w:t>
      </w:r>
      <w:r>
        <w:rPr>
          <w:rFonts w:hint="eastAsia" w:ascii="仿宋_GB2312" w:hAnsi="仿宋_GB2312" w:eastAsia="仿宋_GB2312" w:cs="仿宋_GB2312"/>
          <w:sz w:val="32"/>
          <w:szCs w:val="32"/>
        </w:rPr>
        <w:t>可用收据入帐。</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车费：所有的车票上都必须注明出发地和目的地，以及乘坐日期。</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打车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需提供相应的发票及行程单</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报销车票时，有同行者，必须注明同行者</w:t>
      </w: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其他票据也应同时注明费用的用途及时间，如招待费需注明招待的日期、招待的对象及招待的人数。</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摘要栏必须清晰的写明费用的原因及用途。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当月费用</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当月报销。</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sz w:val="32"/>
          <w:szCs w:val="32"/>
        </w:rPr>
        <w:t>贴票方法和要求</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1.原始发票单据及附件应按照报销的经费项目进行分类整理，如办公费、招待费、差旅费、住宿费等，应按照类别分别粘贴，把相同经费项目的原始凭证粘贴在一起。</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2.粘贴票据的范围大小：应在费用报销单据大小范围内进行粘贴。对于原始发票单据及附件较多的凭证</w:t>
      </w:r>
      <w:r>
        <w:rPr>
          <w:rFonts w:hint="eastAsia" w:ascii="仿宋_GB2312" w:hAnsi="仿宋_GB2312" w:eastAsia="仿宋_GB2312" w:cs="仿宋_GB2312"/>
          <w:sz w:val="32"/>
          <w:szCs w:val="32"/>
          <w:lang w:val="en-US" w:eastAsia="zh-CN"/>
        </w:rPr>
        <w:t>科使用多张粘贴板进行粘贴。</w:t>
      </w:r>
      <w:r>
        <w:rPr>
          <w:rFonts w:hint="eastAsia" w:ascii="仿宋_GB2312" w:hAnsi="仿宋_GB2312" w:eastAsia="仿宋_GB2312" w:cs="仿宋_GB2312"/>
          <w:sz w:val="32"/>
          <w:szCs w:val="32"/>
        </w:rPr>
        <w:t>（粘贴在</w:t>
      </w:r>
      <w:r>
        <w:rPr>
          <w:rFonts w:hint="eastAsia" w:ascii="仿宋_GB2312" w:hAnsi="仿宋_GB2312" w:eastAsia="仿宋_GB2312" w:cs="仿宋_GB2312"/>
          <w:sz w:val="32"/>
          <w:szCs w:val="32"/>
          <w:lang w:val="en-US" w:eastAsia="zh-CN"/>
        </w:rPr>
        <w:t>粘贴板</w:t>
      </w:r>
      <w:r>
        <w:rPr>
          <w:rFonts w:hint="eastAsia" w:ascii="仿宋_GB2312" w:hAnsi="仿宋_GB2312" w:eastAsia="仿宋_GB2312" w:cs="仿宋_GB2312"/>
          <w:sz w:val="32"/>
          <w:szCs w:val="32"/>
        </w:rPr>
        <w:t>上的票据不能超出该纸张的范围）。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3.粘贴要求：原始发票单据及附件必须由</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从右</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左</w:t>
      </w:r>
      <w:r>
        <w:rPr>
          <w:rFonts w:hint="eastAsia" w:ascii="仿宋_GB2312" w:hAnsi="仿宋_GB2312" w:eastAsia="仿宋_GB2312" w:cs="仿宋_GB2312"/>
          <w:sz w:val="32"/>
          <w:szCs w:val="32"/>
        </w:rPr>
        <w:t>、均匀排列粘贴。将胶水涂抹在原始发票单据及附件的左上角，从装订线（粘贴单左侧2公分位置）开始粘贴，将票据向</w:t>
      </w:r>
      <w:r>
        <w:rPr>
          <w:rFonts w:hint="eastAsia" w:ascii="仿宋_GB2312" w:hAnsi="仿宋_GB2312" w:eastAsia="仿宋_GB2312" w:cs="仿宋_GB2312"/>
          <w:sz w:val="32"/>
          <w:szCs w:val="32"/>
          <w:lang w:val="en-US" w:eastAsia="zh-CN"/>
        </w:rPr>
        <w:t>左</w:t>
      </w:r>
      <w:r>
        <w:rPr>
          <w:rFonts w:hint="eastAsia" w:ascii="仿宋_GB2312" w:hAnsi="仿宋_GB2312" w:eastAsia="仿宋_GB2312" w:cs="仿宋_GB2312"/>
          <w:sz w:val="32"/>
          <w:szCs w:val="32"/>
        </w:rPr>
        <w:t>右边均匀排开横向粘贴，注意不要将票据集中在粘贴纸中间，以免造成中间厚四周薄、凭证装订起来不整齐的现象；粘贴的原始发票单据及附件必须在费用报销凭证的大小范围之内，个别规格参差不齐的原始凭证，可先裁边整理后再行粘贴，但必须保证原始凭证内容的完整性。对于粘贴比费用报销单据大的原始发票单据及附件，粘贴位置也应在票据左上角，单据上边和左边与费用报销单对齐，超出部分可以按照报销单大小折叠在粘贴范围之内。</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4.如果同类票据大小不一样，可以在同一张粘贴纸上按照先小后大的顺序粘贴。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5.注意事项：</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（1）原始发票单据及附件的粘贴必须整齐，不要将票据颠倒放置、粘贴。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（2）不要用订书机订原始发票单据及附件。</w:t>
      </w:r>
      <w:r>
        <w:rPr>
          <w:rFonts w:hint="eastAsia" w:ascii="仿宋_GB2312" w:hAnsi="仿宋_GB2312" w:eastAsia="仿宋_GB2312" w:cs="仿宋_GB2312"/>
          <w:sz w:val="32"/>
          <w:szCs w:val="32"/>
          <w:lang w:val="en-US" w:eastAsia="zh-CN"/>
        </w:rPr>
        <w:t>A4纸附件可</w:t>
      </w:r>
      <w:r>
        <w:rPr>
          <w:rFonts w:hint="eastAsia" w:ascii="仿宋_GB2312" w:hAnsi="仿宋_GB2312" w:eastAsia="仿宋_GB2312" w:cs="仿宋_GB2312"/>
          <w:sz w:val="32"/>
          <w:szCs w:val="32"/>
        </w:rPr>
        <w:t>用回形针、大头针等把原始发票单据及附件别</w:t>
      </w:r>
      <w:r>
        <w:rPr>
          <w:rFonts w:hint="eastAsia" w:ascii="仿宋_GB2312" w:hAnsi="仿宋_GB2312" w:eastAsia="仿宋_GB2312" w:cs="仿宋_GB2312"/>
          <w:sz w:val="32"/>
          <w:szCs w:val="32"/>
          <w:lang w:val="en-US" w:eastAsia="zh-CN"/>
        </w:rPr>
        <w:t>夹</w:t>
      </w:r>
      <w:r>
        <w:rPr>
          <w:rFonts w:hint="eastAsia" w:ascii="仿宋_GB2312" w:hAnsi="仿宋_GB2312" w:eastAsia="仿宋_GB2312" w:cs="仿宋_GB2312"/>
          <w:sz w:val="32"/>
          <w:szCs w:val="32"/>
        </w:rPr>
        <w:t>费用报销单据后面。</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（3）对于粘贴不规范的费用报销单据，请自行重新粘贴。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第六条 </w:t>
      </w:r>
      <w:r>
        <w:rPr>
          <w:rFonts w:hint="eastAsia" w:ascii="仿宋_GB2312" w:hAnsi="仿宋_GB2312" w:eastAsia="仿宋_GB2312" w:cs="仿宋_GB2312"/>
          <w:sz w:val="32"/>
          <w:szCs w:val="32"/>
        </w:rPr>
        <w:t>报销手续及签批</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1.严格按照</w:t>
      </w:r>
      <w:r>
        <w:rPr>
          <w:rFonts w:hint="eastAsia" w:ascii="仿宋_GB2312" w:hAnsi="仿宋_GB2312" w:eastAsia="仿宋_GB2312" w:cs="仿宋_GB2312"/>
          <w:sz w:val="32"/>
          <w:szCs w:val="32"/>
          <w:lang w:eastAsia="zh-CN"/>
        </w:rPr>
        <w:t>财务处</w:t>
      </w:r>
      <w:r>
        <w:rPr>
          <w:rFonts w:hint="eastAsia" w:ascii="仿宋_GB2312" w:hAnsi="仿宋_GB2312" w:eastAsia="仿宋_GB2312" w:cs="仿宋_GB2312"/>
          <w:sz w:val="32"/>
          <w:szCs w:val="32"/>
        </w:rPr>
        <w:t>签发的审批制度执行</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2.对于要求有证明人的采购单据，应有</w:t>
      </w:r>
      <w:r>
        <w:rPr>
          <w:rFonts w:hint="eastAsia" w:ascii="仿宋_GB2312" w:hAnsi="仿宋_GB2312" w:eastAsia="仿宋_GB2312" w:cs="仿宋_GB2312"/>
          <w:sz w:val="32"/>
          <w:szCs w:val="32"/>
          <w:lang w:val="en-US" w:eastAsia="zh-CN"/>
        </w:rPr>
        <w:t>经办人和验收人</w:t>
      </w:r>
      <w:r>
        <w:rPr>
          <w:rFonts w:hint="eastAsia" w:ascii="仿宋_GB2312" w:hAnsi="仿宋_GB2312" w:eastAsia="仿宋_GB2312" w:cs="仿宋_GB2312"/>
          <w:sz w:val="32"/>
          <w:szCs w:val="32"/>
        </w:rPr>
        <w:t>进行签字；共同对报销的真实性负责。</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3.对于有购买数量的物品，需由签收人进行签收，核对数量。</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4.对于差旅费报销单，因</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有费用级别规定，不同级别的职员有不同的报销标准，所以在不提供其他证明更高级别的情况下，按职员的职务来评级，如职员除职务外另有更高级别的技能等级，必须由部门领导注明级别或提供高级别证明。</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第七</w:t>
      </w:r>
      <w:r>
        <w:rPr>
          <w:rFonts w:hint="eastAsia" w:ascii="仿宋_GB2312" w:hAnsi="仿宋_GB2312" w:eastAsia="仿宋_GB2312" w:cs="仿宋_GB2312"/>
          <w:sz w:val="32"/>
          <w:szCs w:val="32"/>
          <w:highlight w:val="none"/>
          <w:lang w:val="en-US" w:eastAsia="zh-CN"/>
        </w:rPr>
        <w:t xml:space="preserve">条 </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rPr>
        <w:t>销凭证的签字要求：</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1.按规定应该签字的人员必须全部签字，签字必须签全称，不得只签姓。</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2.签字人签署姓名后，还应当签署签字的日期。</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3.领导签字应当明确表明是否同意报销。</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4.为便于原始凭证的装订，签字是签在凭证的正面，应签在右</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方。</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员工在任何凭单上签字，表示对该凭单所载事项以及金额完全同意，并已尽到诚实申报或认真审核之责。</w:t>
      </w:r>
    </w:p>
    <w:p>
      <w:pPr>
        <w:numPr>
          <w:ilvl w:val="0"/>
          <w:numId w:val="0"/>
        </w:num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6.电子签字与纸质签字具有同等效力。</w:t>
      </w:r>
    </w:p>
    <w:p>
      <w:pPr>
        <w:pStyle w:val="2"/>
        <w:jc w:val="center"/>
        <w:outlineLvl w:val="0"/>
        <w:rPr>
          <w:rFonts w:hint="eastAsia" w:ascii="黑体" w:hAnsi="黑体" w:eastAsia="黑体" w:cs="黑体"/>
          <w:bCs/>
          <w:kern w:val="44"/>
          <w:sz w:val="32"/>
          <w:szCs w:val="32"/>
          <w:highlight w:val="none"/>
          <w:lang w:val="en-US" w:eastAsia="zh-CN" w:bidi="ar-SA"/>
        </w:rPr>
      </w:pPr>
      <w:bookmarkStart w:id="3" w:name="_Toc3195"/>
      <w:r>
        <w:rPr>
          <w:rFonts w:hint="eastAsia" w:ascii="黑体" w:hAnsi="黑体" w:eastAsia="黑体" w:cs="黑体"/>
          <w:bCs/>
          <w:kern w:val="44"/>
          <w:sz w:val="32"/>
          <w:szCs w:val="32"/>
          <w:highlight w:val="none"/>
          <w:lang w:val="en-US" w:eastAsia="zh-CN" w:bidi="ar-SA"/>
        </w:rPr>
        <w:t>第三章 内部控制及一般流程</w:t>
      </w:r>
      <w:bookmarkEnd w:id="3"/>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费用发生过程中，原则上必需由两人或两人以上同时参与或执行，并互相监督和共同承担相关责任。</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费用报销的控制原则：计划管理、分级负责、层层把关。由各部门负责本部门人员费用报销的实质性、合理性的一级审查；由财务部</w:t>
      </w:r>
      <w:r>
        <w:rPr>
          <w:rFonts w:hint="eastAsia" w:ascii="仿宋_GB2312" w:hAnsi="仿宋_GB2312" w:eastAsia="仿宋_GB2312" w:cs="仿宋_GB2312"/>
          <w:sz w:val="32"/>
          <w:szCs w:val="32"/>
          <w:lang w:val="en-US" w:eastAsia="zh-CN"/>
        </w:rPr>
        <w:t>审核人员</w:t>
      </w:r>
      <w:r>
        <w:rPr>
          <w:rFonts w:hint="eastAsia" w:ascii="仿宋_GB2312" w:hAnsi="仿宋_GB2312" w:eastAsia="仿宋_GB2312" w:cs="仿宋_GB2312"/>
          <w:sz w:val="32"/>
          <w:szCs w:val="32"/>
        </w:rPr>
        <w:t>对报销票据的合法性进行</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级审查</w:t>
      </w:r>
      <w:r>
        <w:rPr>
          <w:rFonts w:hint="eastAsia" w:ascii="仿宋_GB2312" w:hAnsi="仿宋_GB2312" w:eastAsia="仿宋_GB2312" w:cs="仿宋_GB2312"/>
          <w:sz w:val="32"/>
          <w:szCs w:val="32"/>
          <w:lang w:eastAsia="zh-CN"/>
        </w:rPr>
        <w:t>。</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一切事项报销的单据均必须取得合法的凭证。合法性的认定以国家规定为准，具体操作由</w:t>
      </w:r>
      <w:r>
        <w:rPr>
          <w:rFonts w:hint="eastAsia" w:ascii="仿宋_GB2312" w:hAnsi="仿宋_GB2312" w:eastAsia="仿宋_GB2312" w:cs="仿宋_GB2312"/>
          <w:sz w:val="32"/>
          <w:szCs w:val="32"/>
          <w:lang w:eastAsia="zh-CN"/>
        </w:rPr>
        <w:t>财务处</w:t>
      </w:r>
      <w:r>
        <w:rPr>
          <w:rFonts w:hint="eastAsia" w:ascii="仿宋_GB2312" w:hAnsi="仿宋_GB2312" w:eastAsia="仿宋_GB2312" w:cs="仿宋_GB2312"/>
          <w:sz w:val="32"/>
          <w:szCs w:val="32"/>
        </w:rPr>
        <w:t>负责把控落实，以可操作性为前提。不符合报销规定的单据</w:t>
      </w:r>
      <w:r>
        <w:rPr>
          <w:rFonts w:hint="eastAsia" w:ascii="仿宋_GB2312" w:hAnsi="仿宋_GB2312" w:eastAsia="仿宋_GB2312" w:cs="仿宋_GB2312"/>
          <w:sz w:val="32"/>
          <w:szCs w:val="32"/>
          <w:lang w:eastAsia="zh-CN"/>
        </w:rPr>
        <w:t>财务处</w:t>
      </w:r>
      <w:r>
        <w:rPr>
          <w:rFonts w:hint="eastAsia" w:ascii="仿宋_GB2312" w:hAnsi="仿宋_GB2312" w:eastAsia="仿宋_GB2312" w:cs="仿宋_GB2312"/>
          <w:sz w:val="32"/>
          <w:szCs w:val="32"/>
        </w:rPr>
        <w:t>有权拒绝</w:t>
      </w:r>
      <w:r>
        <w:rPr>
          <w:rFonts w:hint="eastAsia" w:ascii="仿宋_GB2312" w:hAnsi="仿宋_GB2312" w:eastAsia="仿宋_GB2312" w:cs="仿宋_GB2312"/>
          <w:sz w:val="32"/>
          <w:szCs w:val="32"/>
          <w:lang w:val="en-US" w:eastAsia="zh-CN"/>
        </w:rPr>
        <w:t>报销。</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费用报销的一般操作流程</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费用报销流程：费用报销人报销申请（填制</w:t>
      </w:r>
      <w:r>
        <w:rPr>
          <w:rFonts w:hint="eastAsia" w:ascii="仿宋_GB2312" w:hAnsi="仿宋_GB2312" w:eastAsia="仿宋_GB2312" w:cs="仿宋_GB2312"/>
          <w:sz w:val="32"/>
          <w:szCs w:val="32"/>
          <w:lang w:val="en-US" w:eastAsia="zh-CN"/>
        </w:rPr>
        <w:t>相关费用报销单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填报费控流程（将相关单据附件上传流程）</w:t>
      </w:r>
      <w:r>
        <w:rPr>
          <w:rFonts w:hint="eastAsia" w:ascii="仿宋_GB2312" w:hAnsi="仿宋_GB2312" w:eastAsia="仿宋_GB2312" w:cs="仿宋_GB2312"/>
          <w:sz w:val="32"/>
          <w:szCs w:val="32"/>
        </w:rPr>
        <w:t>------报销人部门负责人确认签字（</w:t>
      </w:r>
      <w:r>
        <w:rPr>
          <w:rFonts w:hint="eastAsia" w:ascii="仿宋_GB2312" w:hAnsi="仿宋_GB2312" w:eastAsia="仿宋_GB2312" w:cs="仿宋_GB2312"/>
          <w:sz w:val="32"/>
          <w:szCs w:val="32"/>
          <w:lang w:val="en-US" w:eastAsia="zh-CN"/>
        </w:rPr>
        <w:t>流程会签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有权签批人员签批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若到财务审核步骤出现问题，则需要退回报销人修改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上述流程为</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费用报销的既定程序，以后各项事务的报销均需要遵照上述流程操作，否则</w:t>
      </w:r>
      <w:r>
        <w:rPr>
          <w:rFonts w:hint="eastAsia" w:ascii="仿宋_GB2312" w:hAnsi="仿宋_GB2312" w:eastAsia="仿宋_GB2312" w:cs="仿宋_GB2312"/>
          <w:sz w:val="32"/>
          <w:szCs w:val="32"/>
          <w:lang w:eastAsia="zh-CN"/>
        </w:rPr>
        <w:t>财务处</w:t>
      </w:r>
      <w:r>
        <w:rPr>
          <w:rFonts w:hint="eastAsia" w:ascii="仿宋_GB2312" w:hAnsi="仿宋_GB2312" w:eastAsia="仿宋_GB2312" w:cs="仿宋_GB2312"/>
          <w:sz w:val="32"/>
          <w:szCs w:val="32"/>
        </w:rPr>
        <w:t>有权拒绝付款。</w:t>
      </w:r>
    </w:p>
    <w:p>
      <w:pPr>
        <w:numPr>
          <w:ilvl w:val="0"/>
          <w:numId w:val="0"/>
        </w:numPr>
        <w:jc w:val="center"/>
        <w:outlineLvl w:val="0"/>
        <w:rPr>
          <w:rFonts w:hint="eastAsia" w:ascii="黑体" w:hAnsi="黑体" w:eastAsia="黑体" w:cs="黑体"/>
          <w:bCs/>
          <w:kern w:val="44"/>
          <w:sz w:val="32"/>
          <w:szCs w:val="32"/>
          <w:highlight w:val="none"/>
          <w:lang w:val="en-US" w:eastAsia="zh-CN" w:bidi="ar-SA"/>
        </w:rPr>
      </w:pPr>
      <w:bookmarkStart w:id="4" w:name="_Toc9407"/>
      <w:r>
        <w:rPr>
          <w:rFonts w:hint="eastAsia" w:ascii="黑体" w:hAnsi="黑体" w:eastAsia="黑体" w:cs="黑体"/>
          <w:bCs/>
          <w:kern w:val="44"/>
          <w:sz w:val="32"/>
          <w:szCs w:val="32"/>
          <w:highlight w:val="none"/>
          <w:lang w:val="en-US" w:eastAsia="zh-CN" w:bidi="ar-SA"/>
        </w:rPr>
        <w:t>第四章 借款管理规定及借款流程</w:t>
      </w:r>
      <w:bookmarkEnd w:id="4"/>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借款原则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预算控制原则。借用公款应有对应的经费预算或经费来源方可办理，严禁无预算借支。</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款专用原则。借用公款应专款专用、一事一结，禁止一借多用或挪作他用。坚持“前账不清新账不借”、“一年多清年底必清”的工作机制，不得长期挂账，不得转移、混淆债权或债务，做到“资料全、账目清”。</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销账留案原则。核销借款应建立备查账，对已核销借款进行永久追溯。若以后年度收回已核销借款的，依据相关要求进行会计核算。</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严格审核和控制借款金额，对明显超出实际资金需求、手续不齐全、未按程序审批的借款，拒绝办理。</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条 借款管理规定</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1.出差借款：出差人员</w:t>
      </w:r>
      <w:r>
        <w:rPr>
          <w:rFonts w:hint="eastAsia" w:ascii="仿宋_GB2312" w:hAnsi="仿宋_GB2312" w:eastAsia="仿宋_GB2312" w:cs="仿宋_GB2312"/>
          <w:sz w:val="32"/>
          <w:szCs w:val="32"/>
          <w:lang w:val="en-US" w:eastAsia="zh-CN"/>
        </w:rPr>
        <w:t>经有权人签批后按照</w:t>
      </w:r>
      <w:r>
        <w:rPr>
          <w:rFonts w:hint="eastAsia" w:ascii="仿宋_GB2312" w:hAnsi="仿宋_GB2312" w:eastAsia="仿宋_GB2312" w:cs="仿宋_GB2312"/>
          <w:sz w:val="32"/>
          <w:szCs w:val="32"/>
        </w:rPr>
        <w:t xml:space="preserve">批准额度办理借款。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2.其他临时借款，如业务费、周转金等，借款人员应及时报帐。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.借款销账规定：</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借款销帐时应以借款申请单为依据，据实报销，超出申请单范围使用的，须经主管领导批准，否则</w:t>
      </w:r>
      <w:r>
        <w:rPr>
          <w:rFonts w:hint="eastAsia" w:ascii="仿宋_GB2312" w:hAnsi="仿宋_GB2312" w:eastAsia="仿宋_GB2312" w:cs="仿宋_GB2312"/>
          <w:sz w:val="32"/>
          <w:szCs w:val="32"/>
          <w:lang w:eastAsia="zh-CN"/>
        </w:rPr>
        <w:t>财务处</w:t>
      </w:r>
      <w:r>
        <w:rPr>
          <w:rFonts w:hint="eastAsia" w:ascii="仿宋_GB2312" w:hAnsi="仿宋_GB2312" w:eastAsia="仿宋_GB2312" w:cs="仿宋_GB2312"/>
          <w:sz w:val="32"/>
          <w:szCs w:val="32"/>
        </w:rPr>
        <w:t>有权拒绝销帐；</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借款未还者原则上不得再次借款，逾期未还借支者转为个人借款，从工资中扣回。 </w:t>
      </w:r>
      <w:bookmarkStart w:id="5" w:name="_Toc25305"/>
    </w:p>
    <w:p>
      <w:pPr>
        <w:numPr>
          <w:ilvl w:val="0"/>
          <w:numId w:val="0"/>
        </w:numPr>
        <w:rPr>
          <w:rFonts w:hint="eastAsia" w:ascii="仿宋_GB2312" w:hAnsi="仿宋_GB2312" w:eastAsia="仿宋_GB2312" w:cs="仿宋_GB2312"/>
          <w:sz w:val="32"/>
          <w:szCs w:val="32"/>
          <w:lang w:val="en-US" w:eastAsia="zh-CN"/>
        </w:rPr>
      </w:pPr>
    </w:p>
    <w:p>
      <w:pPr>
        <w:numPr>
          <w:ilvl w:val="0"/>
          <w:numId w:val="0"/>
        </w:numPr>
        <w:jc w:val="center"/>
        <w:outlineLvl w:val="0"/>
        <w:rPr>
          <w:rFonts w:hint="eastAsia" w:ascii="黑体" w:hAnsi="黑体" w:eastAsia="黑体" w:cs="黑体"/>
          <w:bCs/>
          <w:kern w:val="44"/>
          <w:sz w:val="32"/>
          <w:szCs w:val="32"/>
          <w:highlight w:val="none"/>
          <w:lang w:val="en-US" w:eastAsia="zh-CN" w:bidi="ar-SA"/>
        </w:rPr>
      </w:pPr>
      <w:r>
        <w:rPr>
          <w:rFonts w:hint="eastAsia" w:ascii="黑体" w:hAnsi="黑体" w:eastAsia="黑体" w:cs="黑体"/>
          <w:bCs/>
          <w:kern w:val="44"/>
          <w:sz w:val="32"/>
          <w:szCs w:val="32"/>
          <w:highlight w:val="none"/>
          <w:lang w:val="en-US" w:eastAsia="zh-CN" w:bidi="ar-SA"/>
        </w:rPr>
        <w:t>第五章 日常费用报销规定及流程</w:t>
      </w:r>
      <w:bookmarkEnd w:id="5"/>
    </w:p>
    <w:p>
      <w:pPr>
        <w:numPr>
          <w:ilvl w:val="0"/>
          <w:numId w:val="0"/>
        </w:numPr>
        <w:rPr>
          <w:rFonts w:hint="eastAsia" w:ascii="仿宋_GB2312" w:hAnsi="仿宋_GB2312" w:eastAsia="仿宋_GB2312" w:cs="仿宋_GB2312"/>
          <w:sz w:val="32"/>
          <w:szCs w:val="32"/>
          <w:lang w:val="en-US" w:eastAsia="zh-CN"/>
        </w:rPr>
      </w:pPr>
      <w:r>
        <w:rPr>
          <w:rFonts w:hint="eastAsia" w:ascii="宋体" w:hAnsi="宋体" w:cs="宋体"/>
          <w:kern w:val="0"/>
          <w:sz w:val="28"/>
          <w:szCs w:val="28"/>
        </w:rPr>
        <w:t>　　</w:t>
      </w:r>
      <w:r>
        <w:rPr>
          <w:rFonts w:hint="eastAsia" w:ascii="仿宋_GB2312" w:hAnsi="仿宋_GB2312" w:eastAsia="仿宋_GB2312" w:cs="仿宋_GB2312"/>
          <w:sz w:val="32"/>
          <w:szCs w:val="32"/>
          <w:lang w:val="en-US" w:eastAsia="zh-CN"/>
        </w:rPr>
        <w:t xml:space="preserve">第十四条 日常费用主要包括差旅费、电话费、交通费、办公费、低值易耗品及备品备件、业务招待费、培训费、资料费等。在一个预算期间内，各项费用的累计支出原则上不得超出预算。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第十五条 费用报销的一般规定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1.报销人必须取得相应的合法票据(相关规定见发票管理制度),且发票背面有经办人、证明人（验收人）签名。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2.填写报销单应注意:根据费用性质填写对应单据；严格按单据要求项目认真写，注明附件张数；金额大小写须完全一致（不得涂改）；简述费用内容或事由。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3.按规定的审批程序报批。 </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4.费用支付和原始凭据必须齐全，款项支付按有国家关规定办理。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差旅费报销费用标准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城市间交通费是指出差人员到贵阳市以外地区开展公务活动乘坐火车、轮船、飞机、长途汽车等交通工具所发生的费用。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出差人员应当按照规定等级乘坐交通工具，未按规定等级乘坐交通工具的，超支部分由个人自理。出差人员乘坐交通工具的等级见表1。</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表1：出差人员乘坐交通工具等级表</w:t>
      </w:r>
    </w:p>
    <w:tbl>
      <w:tblPr>
        <w:tblStyle w:val="12"/>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861"/>
        <w:gridCol w:w="1438"/>
        <w:gridCol w:w="1112"/>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704" w:type="dxa"/>
          </w:tcPr>
          <w:p>
            <w:pPr>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0</wp:posOffset>
                      </wp:positionV>
                      <wp:extent cx="1029970" cy="599440"/>
                      <wp:effectExtent l="3175" t="5715" r="14605" b="23495"/>
                      <wp:wrapNone/>
                      <wp:docPr id="3" name="直接连接符 3"/>
                      <wp:cNvGraphicFramePr/>
                      <a:graphic xmlns:a="http://schemas.openxmlformats.org/drawingml/2006/main">
                        <a:graphicData uri="http://schemas.microsoft.com/office/word/2010/wordprocessingShape">
                          <wps:wsp>
                            <wps:cNvCnPr/>
                            <wps:spPr>
                              <a:xfrm>
                                <a:off x="1094105" y="2125345"/>
                                <a:ext cx="1029970" cy="5994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5.1pt;margin-top:0pt;height:47.2pt;width:81.1pt;z-index:251659264;mso-width-relative:page;mso-height-relative:page;" filled="f" stroked="t" coordsize="21600,21600" o:gfxdata="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cSPS1wAAAAcBAAAPAAAAAAAAAAEAIAAAACIAAABkcnMvZG93bnJldi54bWxQSwEC&#10;FAAUAAAACACHTuJAb+sVyvUBAADDAwAADgAAAAAAAAABACAAAAAmAQAAZHJzL2Uyb0RvYy54bWxQ&#10;SwUGAAAAAAYABgBZAQAAjQ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24"/>
                <w:szCs w:val="24"/>
                <w:lang w:val="en-US" w:eastAsia="zh-CN"/>
              </w:rPr>
              <w:t>交通</w:t>
            </w:r>
          </w:p>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工具</w:t>
            </w: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级别</w:t>
            </w:r>
          </w:p>
        </w:tc>
        <w:tc>
          <w:tcPr>
            <w:tcW w:w="2861"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火车（含高铁、动车、全列软席列出）</w:t>
            </w:r>
          </w:p>
        </w:tc>
        <w:tc>
          <w:tcPr>
            <w:tcW w:w="14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轮船（不包括旅游船）</w:t>
            </w:r>
          </w:p>
        </w:tc>
        <w:tc>
          <w:tcPr>
            <w:tcW w:w="1112"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飞机</w:t>
            </w:r>
          </w:p>
        </w:tc>
        <w:tc>
          <w:tcPr>
            <w:tcW w:w="23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其他交通工具（不包括出租小汽车）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704" w:type="dxa"/>
          </w:tcPr>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董事会及相当职务人员</w:t>
            </w:r>
          </w:p>
        </w:tc>
        <w:tc>
          <w:tcPr>
            <w:tcW w:w="2861" w:type="dxa"/>
            <w:vAlign w:val="center"/>
          </w:tcPr>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实报</w:t>
            </w:r>
          </w:p>
        </w:tc>
        <w:tc>
          <w:tcPr>
            <w:tcW w:w="14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实报</w:t>
            </w:r>
          </w:p>
        </w:tc>
        <w:tc>
          <w:tcPr>
            <w:tcW w:w="1112"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实报</w:t>
            </w:r>
          </w:p>
        </w:tc>
        <w:tc>
          <w:tcPr>
            <w:tcW w:w="23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校级领导等相当职务人员</w:t>
            </w:r>
          </w:p>
        </w:tc>
        <w:tc>
          <w:tcPr>
            <w:tcW w:w="2861"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火车软席（软座、软卧），高铁、动车一等座，全列软席列车一等软座</w:t>
            </w:r>
          </w:p>
        </w:tc>
        <w:tc>
          <w:tcPr>
            <w:tcW w:w="14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二等舱</w:t>
            </w:r>
          </w:p>
        </w:tc>
        <w:tc>
          <w:tcPr>
            <w:tcW w:w="1112" w:type="dxa"/>
            <w:vAlign w:val="center"/>
          </w:tcPr>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经济舱</w:t>
            </w:r>
          </w:p>
        </w:tc>
        <w:tc>
          <w:tcPr>
            <w:tcW w:w="23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凭票报销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其余人员</w:t>
            </w:r>
          </w:p>
        </w:tc>
        <w:tc>
          <w:tcPr>
            <w:tcW w:w="2861"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火车硬席（硬座、硬卧），高铁、动车二等座、全列软席列车二等软席</w:t>
            </w:r>
          </w:p>
        </w:tc>
        <w:tc>
          <w:tcPr>
            <w:tcW w:w="14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三等舱</w:t>
            </w:r>
          </w:p>
        </w:tc>
        <w:tc>
          <w:tcPr>
            <w:tcW w:w="1112"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经济舱</w:t>
            </w:r>
          </w:p>
        </w:tc>
        <w:tc>
          <w:tcPr>
            <w:tcW w:w="2338"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凭票报销</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学生参与教学科研活动所发生的差旅费，可以参照“其余人员”标准执行。对于乘坐高于规定等级的交通工具所发生的费用，按照实际购买票价和自身对应等级全价票“就低”的原则报销。横向科研经费中报销差旅费的，出差人员不受级别限制，据实报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到出差目的地有多种交通工具可选择时，出差人员在不影响公务、确保安全的前提下，应当选乘相对经济便捷的交通工具。</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出差人员乘坐夕发朝至的高铁动卧列车（不含高级动卧），不受出差人员级别限制，可以凭票报销。出差人员乘坐夕发朝至的全列软席火车，乘坐普通软席时，不受出差人员级别限制，凭据报销。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住宿费报销费用标准。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住宿费是指出差人员因公出差期间入住宾馆（包括饭店、酒店、招待所等，下同）发生的房租费用。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2.出差人员应当在职称、职级对应的住宿费标准限额内，选择安全、经济、便捷的宾馆住宿，在标准限额之内凭发票据实报销，超出部分由个人自理。出差人员住宿标准限额如表2。</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表2：出差人员住宿标准限额表</w:t>
      </w:r>
    </w:p>
    <w:tbl>
      <w:tblPr>
        <w:tblStyle w:val="12"/>
        <w:tblW w:w="937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025"/>
        <w:gridCol w:w="2220"/>
        <w:gridCol w:w="202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10" w:type="dxa"/>
            <w:vMerge w:val="restart"/>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地区</w:t>
            </w:r>
          </w:p>
        </w:tc>
        <w:tc>
          <w:tcPr>
            <w:tcW w:w="6270" w:type="dxa"/>
            <w:gridSpan w:val="3"/>
            <w:vAlign w:val="center"/>
          </w:tcPr>
          <w:p>
            <w:pPr>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住宿标准（元/天.人）</w:t>
            </w:r>
          </w:p>
        </w:tc>
        <w:tc>
          <w:tcPr>
            <w:tcW w:w="1995" w:type="dxa"/>
            <w:vMerge w:val="restart"/>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10" w:type="dxa"/>
            <w:vMerge w:val="continue"/>
            <w:vAlign w:val="center"/>
          </w:tcPr>
          <w:p>
            <w:pPr>
              <w:numPr>
                <w:ilvl w:val="0"/>
                <w:numId w:val="0"/>
              </w:numPr>
              <w:rPr>
                <w:rFonts w:hint="eastAsia" w:ascii="仿宋_GB2312" w:hAnsi="仿宋_GB2312" w:eastAsia="仿宋_GB2312" w:cs="仿宋_GB2312"/>
                <w:sz w:val="24"/>
                <w:szCs w:val="24"/>
                <w:lang w:val="en-US" w:eastAsia="zh-CN"/>
              </w:rPr>
            </w:pPr>
          </w:p>
        </w:tc>
        <w:tc>
          <w:tcPr>
            <w:tcW w:w="2025"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董事会及相当职务人员</w:t>
            </w:r>
          </w:p>
        </w:tc>
        <w:tc>
          <w:tcPr>
            <w:tcW w:w="2220"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校级领导等相当职务人员</w:t>
            </w:r>
          </w:p>
        </w:tc>
        <w:tc>
          <w:tcPr>
            <w:tcW w:w="2025"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其他人员</w:t>
            </w:r>
          </w:p>
        </w:tc>
        <w:tc>
          <w:tcPr>
            <w:tcW w:w="1995" w:type="dxa"/>
            <w:vMerge w:val="continue"/>
            <w:vAlign w:val="center"/>
          </w:tcPr>
          <w:p>
            <w:pPr>
              <w:numPr>
                <w:ilvl w:val="0"/>
                <w:numId w:val="0"/>
              </w:num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10"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省内</w:t>
            </w:r>
          </w:p>
        </w:tc>
        <w:tc>
          <w:tcPr>
            <w:tcW w:w="2025" w:type="dxa"/>
            <w:vAlign w:val="center"/>
          </w:tcPr>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实报</w:t>
            </w:r>
          </w:p>
        </w:tc>
        <w:tc>
          <w:tcPr>
            <w:tcW w:w="2220"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400</w:t>
            </w:r>
          </w:p>
        </w:tc>
        <w:tc>
          <w:tcPr>
            <w:tcW w:w="2025"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w:t>
            </w:r>
          </w:p>
        </w:tc>
        <w:tc>
          <w:tcPr>
            <w:tcW w:w="1995" w:type="dxa"/>
            <w:vMerge w:val="restart"/>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北京、上海、广东可上浮35%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0"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省外</w:t>
            </w:r>
          </w:p>
        </w:tc>
        <w:tc>
          <w:tcPr>
            <w:tcW w:w="2025" w:type="dxa"/>
            <w:vAlign w:val="center"/>
          </w:tcPr>
          <w:p>
            <w:pPr>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实报</w:t>
            </w:r>
          </w:p>
        </w:tc>
        <w:tc>
          <w:tcPr>
            <w:tcW w:w="2220"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450</w:t>
            </w:r>
          </w:p>
        </w:tc>
        <w:tc>
          <w:tcPr>
            <w:tcW w:w="2025" w:type="dxa"/>
            <w:vAlign w:val="center"/>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350</w:t>
            </w:r>
          </w:p>
        </w:tc>
        <w:tc>
          <w:tcPr>
            <w:tcW w:w="1995" w:type="dxa"/>
            <w:vMerge w:val="continue"/>
          </w:tcPr>
          <w:p>
            <w:pPr>
              <w:numPr>
                <w:ilvl w:val="0"/>
                <w:numId w:val="0"/>
              </w:numPr>
              <w:rPr>
                <w:rFonts w:hint="eastAsia" w:ascii="仿宋_GB2312" w:hAnsi="仿宋_GB2312" w:eastAsia="仿宋_GB2312" w:cs="仿宋_GB2312"/>
                <w:sz w:val="24"/>
                <w:szCs w:val="24"/>
                <w:lang w:val="en-US" w:eastAsia="zh-CN"/>
              </w:rPr>
            </w:pPr>
          </w:p>
        </w:tc>
      </w:tr>
    </w:tbl>
    <w:p>
      <w:pPr>
        <w:numPr>
          <w:ilvl w:val="0"/>
          <w:numId w:val="0"/>
        </w:numPr>
        <w:rPr>
          <w:rFonts w:hint="eastAsia" w:ascii="仿宋_GB2312" w:hAnsi="仿宋_GB2312" w:eastAsia="仿宋_GB2312" w:cs="仿宋_GB2312"/>
          <w:sz w:val="24"/>
          <w:szCs w:val="24"/>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住宿费发票应注明住宿天数（或时间）、人数（或房间数）、单价等基本信息，以便判断住宿费是否符合标准。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出差人员在经批准的出差天数和规定的住宿费限额标准之内，可以统筹较高和较低位的房费。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 条伙食补助费用标准。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伙食补助费是指对工作人员在因公出差期间给予的伙食补偿费用。 伙食补助费按出差自然（日历）天数计算，按规定标准包干使用，出差伙食补助费每人每天100元，超标部分由个人自理。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市内交通费用标准。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贵阳市内因公外出办事产生的交通费及自用车辆产生的费用，统一按照往返一次80元补贴。有明确的行程单及发票金额的除外。</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出差地市内交通费按出差自然（日历）天数计算，每人每天80元包干使用，不再单独报销市内公交车、地铁、出租车、轮渡和往返市区与机场、高铁站、火车站、长途汽车站、轮渡码头的交通费等，超标准部分由个人自理。</w:t>
      </w:r>
    </w:p>
    <w:p>
      <w:pPr>
        <w:numPr>
          <w:ilvl w:val="0"/>
          <w:numId w:val="0"/>
        </w:numPr>
        <w:jc w:val="center"/>
        <w:outlineLvl w:val="0"/>
        <w:rPr>
          <w:rFonts w:hint="eastAsia" w:ascii="黑体" w:hAnsi="黑体" w:eastAsia="黑体" w:cs="黑体"/>
          <w:bCs/>
          <w:kern w:val="44"/>
          <w:sz w:val="32"/>
          <w:szCs w:val="32"/>
          <w:highlight w:val="none"/>
          <w:lang w:val="en-US" w:eastAsia="zh-CN" w:bidi="ar-SA"/>
        </w:rPr>
      </w:pPr>
      <w:bookmarkStart w:id="6" w:name="_Toc15242"/>
      <w:r>
        <w:rPr>
          <w:rFonts w:hint="eastAsia" w:ascii="黑体" w:hAnsi="黑体" w:eastAsia="黑体" w:cs="黑体"/>
          <w:bCs/>
          <w:kern w:val="44"/>
          <w:sz w:val="32"/>
          <w:szCs w:val="32"/>
          <w:highlight w:val="none"/>
          <w:lang w:val="en-US" w:eastAsia="zh-CN" w:bidi="ar-SA"/>
        </w:rPr>
        <w:t>第六章  参加会议、培训、招待费等费用</w:t>
      </w:r>
      <w:bookmarkEnd w:id="6"/>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参加会议、培训等差旅费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学校职工到贵阳市以外地区参加会议、培训，必须有举办单位邀请参会的凭据或者学校派遣参会的通知。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举办单位统一安排食宿及交通的，不再另行计发伙食补助费和市内交通费；举办单位只安排食宿未安排接送的，可计发往返当天的市内交通费；举办单位不统一安排食宿的，可报销往返交通费、培训费、住宿费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3.学校职工到贵阳市内参加会议、培训也需提供举办单位邀请参会凭证，参会半天不需住宿的，补贴80元交通费，参会期间需要住宿的参照市外出差规定报销。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招待费、培训费、资料费及其他报销制度及流程</w:t>
      </w:r>
    </w:p>
    <w:p>
      <w:pPr>
        <w:numPr>
          <w:ilvl w:val="0"/>
          <w:numId w:val="0"/>
        </w:numPr>
        <w:ind w:left="16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（一）公务接待费的管理规定</w:t>
      </w:r>
    </w:p>
    <w:p>
      <w:pPr>
        <w:spacing w:line="360" w:lineRule="auto"/>
        <w:ind w:firstLine="640" w:firstLineChars="200"/>
        <w:rPr>
          <w:rFonts w:hint="eastAsia" w:ascii="仿宋_GB2312" w:hAnsi="楷体" w:eastAsia="仿宋_GB2312" w:cs="宋体"/>
          <w:bCs/>
          <w:sz w:val="32"/>
          <w:szCs w:val="32"/>
        </w:rPr>
      </w:pPr>
      <w:r>
        <w:rPr>
          <w:rFonts w:hint="eastAsia" w:ascii="仿宋_GB2312" w:hAnsi="楷体" w:eastAsia="仿宋_GB2312" w:cs="宋体"/>
          <w:bCs/>
          <w:sz w:val="32"/>
          <w:szCs w:val="32"/>
        </w:rPr>
        <w:t>公务接待中，原则安排在内部食堂就餐。因工作需要，接待单位按规定标准可安排工作餐一次，并严格控制陪餐人数。接待对象在10人以内的，陪餐人数不得超过3人；超过10人的，陪餐人数不得超过接待对象人数的三分之一。</w:t>
      </w:r>
    </w:p>
    <w:p>
      <w:pPr>
        <w:spacing w:line="560" w:lineRule="exact"/>
        <w:ind w:firstLine="640" w:firstLineChars="200"/>
        <w:rPr>
          <w:rFonts w:hint="eastAsia" w:ascii="仿宋_GB2312" w:hAnsi="楷体" w:eastAsia="仿宋_GB2312" w:cs="宋体"/>
          <w:bCs/>
          <w:sz w:val="32"/>
          <w:szCs w:val="32"/>
        </w:rPr>
      </w:pPr>
      <w:r>
        <w:rPr>
          <w:rFonts w:hint="eastAsia" w:ascii="仿宋_GB2312" w:hAnsi="楷体" w:eastAsia="仿宋_GB2312" w:cs="宋体"/>
          <w:bCs/>
          <w:sz w:val="32"/>
          <w:szCs w:val="32"/>
        </w:rPr>
        <w:t>工作餐应供应家常菜，不得提供鱼翅、燕窝等高档菜肴和用野生保护动物制作的菜肴，不得使用私人会所、高消费餐饮场所。</w:t>
      </w:r>
    </w:p>
    <w:p>
      <w:pPr>
        <w:spacing w:line="560" w:lineRule="exact"/>
        <w:ind w:firstLine="640" w:firstLineChars="200"/>
        <w:rPr>
          <w:rFonts w:hint="eastAsia" w:ascii="仿宋_GB2312" w:hAnsi="楷体" w:eastAsia="仿宋_GB2312" w:cs="宋体"/>
          <w:bCs/>
          <w:sz w:val="32"/>
          <w:szCs w:val="32"/>
        </w:rPr>
      </w:pPr>
      <w:r>
        <w:rPr>
          <w:rFonts w:hint="eastAsia" w:ascii="仿宋_GB2312" w:hAnsi="楷体" w:eastAsia="仿宋_GB2312" w:cs="宋体"/>
          <w:bCs/>
          <w:sz w:val="32"/>
          <w:szCs w:val="32"/>
          <w:lang w:eastAsia="zh-CN"/>
        </w:rPr>
        <w:t>各单位</w:t>
      </w:r>
      <w:r>
        <w:rPr>
          <w:rFonts w:hint="eastAsia" w:ascii="仿宋_GB2312" w:hAnsi="楷体" w:eastAsia="仿宋_GB2312" w:cs="宋体"/>
          <w:bCs/>
          <w:sz w:val="32"/>
          <w:szCs w:val="32"/>
        </w:rPr>
        <w:t>不得超标准接待，不得组织旅游和与公务活动无关的参观，不得组织到营业性娱乐、健身场所活动，不得安排专场文艺演出，不得以任何名义赠送礼金、有价证券、纪念品和土特产品等。</w:t>
      </w:r>
    </w:p>
    <w:p>
      <w:pPr>
        <w:numPr>
          <w:ilvl w:val="0"/>
          <w:numId w:val="0"/>
        </w:numPr>
        <w:ind w:firstLine="640" w:firstLineChars="200"/>
        <w:rPr>
          <w:rFonts w:hint="eastAsia" w:ascii="仿宋_GB2312" w:hAnsi="仿宋_GB2312" w:eastAsia="仿宋_GB2312" w:cs="仿宋_GB2312"/>
          <w:sz w:val="32"/>
          <w:szCs w:val="32"/>
          <w:lang w:val="en-US" w:eastAsia="zh-CN"/>
        </w:rPr>
      </w:pPr>
    </w:p>
    <w:tbl>
      <w:tblPr>
        <w:tblStyle w:val="11"/>
        <w:tblW w:w="7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1"/>
        <w:gridCol w:w="5998"/>
        <w:gridCol w:w="1141"/>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7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 w:hAnsi="楷体" w:eastAsia="楷体" w:cs="楷体"/>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（一）工作餐参考标准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就餐形式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接待类别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就餐等级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用餐标准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董事会成员、校领导主持的接待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一级餐标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各学院、各处室（馆、中心、研究院）负责人主持的接待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二级餐标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各学院、各处室（馆、中心、研究院）组织的接待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三级餐标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自助餐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65元/人</w:t>
            </w:r>
          </w:p>
        </w:tc>
      </w:tr>
    </w:tbl>
    <w:p>
      <w:pPr>
        <w:numPr>
          <w:ilvl w:val="0"/>
          <w:numId w:val="0"/>
        </w:numPr>
        <w:ind w:firstLine="640" w:firstLineChars="200"/>
        <w:rPr>
          <w:rFonts w:hint="eastAsia" w:ascii="仿宋_GB2312" w:hAnsi="仿宋_GB2312" w:eastAsia="仿宋_GB2312" w:cs="仿宋_GB2312"/>
          <w:sz w:val="32"/>
          <w:szCs w:val="32"/>
          <w:lang w:val="en-US" w:eastAsia="zh-CN"/>
        </w:rPr>
      </w:pPr>
    </w:p>
    <w:tbl>
      <w:tblPr>
        <w:tblStyle w:val="11"/>
        <w:tblW w:w="9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1"/>
        <w:gridCol w:w="5998"/>
        <w:gridCol w:w="1141"/>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94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 w:hAnsi="楷体" w:eastAsia="楷体" w:cs="楷体"/>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（二）在外就餐参考标准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就餐形式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接待类别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就餐等级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用餐标准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董事会成员、校领导主持的接待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一级餐标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各学院、各处室（馆、中心、研究院）负责人主持的接待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二级餐标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各学院、各处室（馆、中心、研究院）组织的接待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三级餐标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200元/人</w:t>
            </w:r>
          </w:p>
        </w:tc>
      </w:tr>
    </w:tbl>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楷体" w:eastAsia="仿宋_GB2312" w:cs="宋体"/>
          <w:bCs/>
          <w:sz w:val="32"/>
          <w:szCs w:val="32"/>
          <w:lang w:eastAsia="zh-CN"/>
        </w:rPr>
      </w:pPr>
      <w:r>
        <w:rPr>
          <w:rFonts w:hint="eastAsia" w:ascii="仿宋_GB2312" w:hAnsi="仿宋_GB2312" w:eastAsia="仿宋_GB2312" w:cs="仿宋_GB2312"/>
          <w:sz w:val="32"/>
          <w:szCs w:val="32"/>
          <w:lang w:val="en-US" w:eastAsia="zh-CN"/>
        </w:rPr>
        <w:t>（二）商务接待费的管理规定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开展商务接待活动应根据工作内容和接待对象，严格控制陪同人数，严格履行审核审批程序，建立招待清单，列明招待对象、陪同人数、招待地点，实行接待费用总额和人均费用双控管理，规范审批、报销等行为。</w:t>
      </w:r>
    </w:p>
    <w:p>
      <w:pPr>
        <w:spacing w:line="560" w:lineRule="exact"/>
        <w:ind w:firstLine="640" w:firstLineChars="200"/>
        <w:rPr>
          <w:rFonts w:hint="eastAsia" w:ascii="仿宋_GB2312" w:hAnsi="楷体" w:eastAsia="仿宋_GB2312" w:cs="宋体"/>
          <w:bCs/>
          <w:sz w:val="32"/>
          <w:szCs w:val="32"/>
        </w:rPr>
      </w:pPr>
      <w:r>
        <w:rPr>
          <w:rFonts w:hint="eastAsia" w:ascii="仿宋_GB2312" w:hAnsi="楷体" w:eastAsia="仿宋_GB2312" w:cs="宋体"/>
          <w:bCs/>
          <w:sz w:val="32"/>
          <w:szCs w:val="32"/>
        </w:rPr>
        <w:t xml:space="preserve"> 迎送安排。在开展</w:t>
      </w:r>
      <w:r>
        <w:rPr>
          <w:rFonts w:hint="eastAsia" w:ascii="仿宋_GB2312" w:hAnsi="楷体" w:eastAsia="仿宋_GB2312" w:cs="宋体"/>
          <w:bCs/>
          <w:sz w:val="32"/>
          <w:szCs w:val="32"/>
          <w:lang w:eastAsia="zh-CN"/>
        </w:rPr>
        <w:t>商务接待</w:t>
      </w:r>
      <w:r>
        <w:rPr>
          <w:rFonts w:hint="eastAsia" w:ascii="仿宋_GB2312" w:hAnsi="楷体" w:eastAsia="仿宋_GB2312" w:cs="宋体"/>
          <w:bCs/>
          <w:sz w:val="32"/>
          <w:szCs w:val="32"/>
        </w:rPr>
        <w:t>活动中应根据工作内容和</w:t>
      </w:r>
      <w:r>
        <w:rPr>
          <w:rFonts w:hint="eastAsia" w:ascii="仿宋_GB2312" w:hAnsi="楷体" w:eastAsia="仿宋_GB2312" w:cs="宋体"/>
          <w:bCs/>
          <w:sz w:val="32"/>
          <w:szCs w:val="32"/>
          <w:lang w:eastAsia="zh-CN"/>
        </w:rPr>
        <w:t>接待</w:t>
      </w:r>
      <w:r>
        <w:rPr>
          <w:rFonts w:hint="eastAsia" w:ascii="仿宋_GB2312" w:hAnsi="楷体" w:eastAsia="仿宋_GB2312" w:cs="宋体"/>
          <w:bCs/>
          <w:sz w:val="32"/>
          <w:szCs w:val="32"/>
        </w:rPr>
        <w:t>对象，严格控制陪同人员，合理安排车辆，严格控制随行车辆。不得在机场、车站、码头和辖区边界组织迎送活动，不得跨地区迎送，不得张贴悬挂标语横幅，不得安排员工迎送，不得铺设迎宾地毯。</w:t>
      </w:r>
    </w:p>
    <w:p>
      <w:pPr>
        <w:spacing w:line="560" w:lineRule="exact"/>
        <w:ind w:firstLine="640" w:firstLineChars="200"/>
        <w:rPr>
          <w:rFonts w:hint="eastAsia" w:ascii="仿宋_GB2312" w:hAnsi="楷体" w:eastAsia="仿宋_GB2312" w:cs="宋体"/>
          <w:bCs/>
          <w:sz w:val="32"/>
          <w:szCs w:val="32"/>
        </w:rPr>
      </w:pPr>
      <w:bookmarkStart w:id="11" w:name="_GoBack"/>
      <w:bookmarkEnd w:id="11"/>
      <w:r>
        <w:rPr>
          <w:rFonts w:hint="eastAsia" w:ascii="仿宋_GB2312" w:hAnsi="楷体" w:eastAsia="仿宋_GB2312" w:cs="宋体"/>
          <w:bCs/>
          <w:sz w:val="32"/>
          <w:szCs w:val="32"/>
        </w:rPr>
        <w:t>住宿安排。由</w:t>
      </w:r>
      <w:r>
        <w:rPr>
          <w:rFonts w:hint="eastAsia" w:ascii="仿宋_GB2312" w:hAnsi="楷体" w:eastAsia="仿宋_GB2312" w:cs="宋体"/>
          <w:bCs/>
          <w:sz w:val="32"/>
          <w:szCs w:val="32"/>
          <w:lang w:eastAsia="zh-CN"/>
        </w:rPr>
        <w:t>接待</w:t>
      </w:r>
      <w:r>
        <w:rPr>
          <w:rFonts w:hint="eastAsia" w:ascii="仿宋_GB2312" w:hAnsi="楷体" w:eastAsia="仿宋_GB2312" w:cs="宋体"/>
          <w:bCs/>
          <w:sz w:val="32"/>
          <w:szCs w:val="32"/>
        </w:rPr>
        <w:t>对象自付住宿费用的，按照</w:t>
      </w:r>
      <w:r>
        <w:rPr>
          <w:rFonts w:hint="eastAsia" w:ascii="仿宋_GB2312" w:hAnsi="楷体" w:eastAsia="仿宋_GB2312" w:cs="宋体"/>
          <w:bCs/>
          <w:sz w:val="32"/>
          <w:szCs w:val="32"/>
          <w:lang w:eastAsia="zh-CN"/>
        </w:rPr>
        <w:t>接待</w:t>
      </w:r>
      <w:r>
        <w:rPr>
          <w:rFonts w:hint="eastAsia" w:ascii="仿宋_GB2312" w:hAnsi="楷体" w:eastAsia="仿宋_GB2312" w:cs="宋体"/>
          <w:bCs/>
          <w:sz w:val="32"/>
          <w:szCs w:val="32"/>
        </w:rPr>
        <w:t>对象要求予以安排。由</w:t>
      </w:r>
      <w:r>
        <w:rPr>
          <w:rFonts w:hint="eastAsia" w:ascii="仿宋_GB2312" w:hAnsi="楷体" w:eastAsia="仿宋_GB2312" w:cs="宋体"/>
          <w:bCs/>
          <w:sz w:val="32"/>
          <w:szCs w:val="32"/>
          <w:lang w:eastAsia="zh-CN"/>
        </w:rPr>
        <w:t>接待</w:t>
      </w:r>
      <w:r>
        <w:rPr>
          <w:rFonts w:hint="eastAsia" w:ascii="仿宋_GB2312" w:hAnsi="楷体" w:eastAsia="仿宋_GB2312" w:cs="宋体"/>
          <w:bCs/>
          <w:sz w:val="32"/>
          <w:szCs w:val="32"/>
        </w:rPr>
        <w:t>方支付住宿费用的，原则上安排在指定的住宿点。</w:t>
      </w:r>
    </w:p>
    <w:p>
      <w:pPr>
        <w:spacing w:line="560" w:lineRule="exact"/>
        <w:ind w:firstLine="640" w:firstLineChars="200"/>
        <w:rPr>
          <w:rFonts w:hint="eastAsia" w:ascii="仿宋_GB2312" w:hAnsi="楷体" w:eastAsia="仿宋_GB2312" w:cs="宋体"/>
          <w:bCs/>
          <w:sz w:val="32"/>
          <w:szCs w:val="32"/>
        </w:rPr>
      </w:pPr>
      <w:r>
        <w:rPr>
          <w:rFonts w:hint="eastAsia" w:ascii="仿宋_GB2312" w:hAnsi="楷体" w:eastAsia="仿宋_GB2312" w:cs="宋体"/>
          <w:bCs/>
          <w:sz w:val="32"/>
          <w:szCs w:val="32"/>
        </w:rPr>
        <w:t xml:space="preserve"> 纪念品安排。因工作需要，可赠送纪念品，标准为每次人均不得超过300元。严禁赠送现金、购物卡、消费卡等各种有价证券、支付凭证及贵重物品</w:t>
      </w:r>
    </w:p>
    <w:p>
      <w:pPr>
        <w:spacing w:line="560" w:lineRule="exact"/>
        <w:ind w:firstLine="640" w:firstLineChars="200"/>
        <w:rPr>
          <w:rFonts w:hint="eastAsia" w:ascii="仿宋_GB2312" w:hAnsi="楷体" w:eastAsia="仿宋_GB2312" w:cs="宋体"/>
          <w:bCs/>
          <w:sz w:val="32"/>
          <w:szCs w:val="32"/>
          <w:lang w:val="en-US" w:eastAsia="zh-CN"/>
        </w:rPr>
      </w:pPr>
    </w:p>
    <w:tbl>
      <w:tblPr>
        <w:tblStyle w:val="11"/>
        <w:tblpPr w:leftFromText="180" w:rightFromText="180" w:vertAnchor="text" w:horzAnchor="margin" w:tblpXSpec="center" w:tblpY="68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69"/>
        <w:gridCol w:w="468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级别</w:t>
            </w:r>
          </w:p>
        </w:tc>
        <w:tc>
          <w:tcPr>
            <w:tcW w:w="196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 准</w:t>
            </w:r>
          </w:p>
        </w:tc>
        <w:tc>
          <w:tcPr>
            <w:tcW w:w="468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  待  范  围</w:t>
            </w:r>
          </w:p>
        </w:tc>
        <w:tc>
          <w:tcPr>
            <w:tcW w:w="106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9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特级</w:t>
            </w:r>
          </w:p>
        </w:tc>
        <w:tc>
          <w:tcPr>
            <w:tcW w:w="196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实报</w:t>
            </w:r>
          </w:p>
        </w:tc>
        <w:tc>
          <w:tcPr>
            <w:tcW w:w="468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由校董事会级领导出席或指定安排接待的客人。</w:t>
            </w:r>
          </w:p>
        </w:tc>
        <w:tc>
          <w:tcPr>
            <w:tcW w:w="106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一级</w:t>
            </w:r>
          </w:p>
        </w:tc>
        <w:tc>
          <w:tcPr>
            <w:tcW w:w="196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每位就餐者费用不超过200元。</w:t>
            </w:r>
          </w:p>
        </w:tc>
        <w:tc>
          <w:tcPr>
            <w:tcW w:w="468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由学院领导出席，指定安排接待的客人。学院相关人员陪同。</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p>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各有审批权限的领导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9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三级</w:t>
            </w:r>
          </w:p>
        </w:tc>
        <w:tc>
          <w:tcPr>
            <w:tcW w:w="196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每位就餐者费用不超过100元。</w:t>
            </w:r>
          </w:p>
        </w:tc>
        <w:tc>
          <w:tcPr>
            <w:tcW w:w="468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一般普通宴请</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ind w:left="160" w:leftChars="0"/>
              <w:rPr>
                <w:rFonts w:hint="eastAsia" w:ascii="仿宋" w:hAnsi="仿宋" w:eastAsia="仿宋" w:cs="仿宋"/>
                <w:sz w:val="24"/>
                <w:szCs w:val="24"/>
                <w:lang w:val="en-US" w:eastAsia="zh-CN"/>
              </w:rPr>
            </w:pPr>
          </w:p>
        </w:tc>
      </w:tr>
    </w:tbl>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1.招待用餐标准：</w:t>
      </w:r>
      <w:bookmarkStart w:id="7" w:name="_Toc15606"/>
    </w:p>
    <w:p>
      <w:pPr>
        <w:numPr>
          <w:ilvl w:val="0"/>
          <w:numId w:val="0"/>
        </w:numPr>
        <w:ind w:left="160" w:leftChars="0" w:firstLine="480" w:firstLineChars="200"/>
        <w:rPr>
          <w:rFonts w:hint="eastAsia" w:ascii="仿宋" w:hAnsi="仿宋" w:eastAsia="仿宋" w:cs="仿宋"/>
          <w:sz w:val="24"/>
          <w:szCs w:val="24"/>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left="16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2.招待住宿标准：</w:t>
      </w:r>
      <w:bookmarkEnd w:id="7"/>
    </w:p>
    <w:tbl>
      <w:tblPr>
        <w:tblStyle w:val="11"/>
        <w:tblW w:w="8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241"/>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22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标准（元/日.人）</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招待范围及批准权限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一级</w:t>
            </w:r>
          </w:p>
        </w:tc>
        <w:tc>
          <w:tcPr>
            <w:tcW w:w="22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实报</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由董事会成员、校级领导指定安排接待的客人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二级</w:t>
            </w:r>
          </w:p>
        </w:tc>
        <w:tc>
          <w:tcPr>
            <w:tcW w:w="22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由学院领导指定安排接待的客人。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三级</w:t>
            </w:r>
          </w:p>
        </w:tc>
        <w:tc>
          <w:tcPr>
            <w:tcW w:w="22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16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一般普通接待</w:t>
            </w:r>
          </w:p>
        </w:tc>
      </w:tr>
    </w:tbl>
    <w:p>
      <w:pPr>
        <w:rPr>
          <w:rFonts w:hint="eastAsia"/>
          <w:highlight w:val="none"/>
          <w:lang w:val="en-US" w:eastAsia="zh-CN"/>
        </w:rPr>
      </w:pPr>
      <w:bookmarkStart w:id="8" w:name="_Toc16749"/>
    </w:p>
    <w:p>
      <w:pPr>
        <w:rPr>
          <w:rFonts w:hint="eastAsia"/>
          <w:highlight w:val="none"/>
          <w:lang w:val="en-US" w:eastAsia="zh-CN"/>
        </w:rPr>
      </w:pPr>
    </w:p>
    <w:p>
      <w:pPr>
        <w:pStyle w:val="2"/>
        <w:numPr>
          <w:ilvl w:val="0"/>
          <w:numId w:val="0"/>
        </w:numPr>
        <w:jc w:val="both"/>
        <w:rPr>
          <w:rFonts w:hint="eastAsia" w:ascii="黑体" w:hAnsi="黑体" w:eastAsia="黑体" w:cs="黑体"/>
          <w:sz w:val="32"/>
          <w:szCs w:val="32"/>
          <w:highlight w:val="none"/>
          <w:lang w:val="en-US" w:eastAsia="zh-CN"/>
        </w:rPr>
      </w:pPr>
    </w:p>
    <w:p>
      <w:pPr>
        <w:rPr>
          <w:rFonts w:hint="eastAsia"/>
          <w:lang w:val="en-US" w:eastAsia="zh-CN"/>
        </w:rPr>
      </w:pPr>
    </w:p>
    <w:p>
      <w:pPr>
        <w:pStyle w:val="2"/>
        <w:numPr>
          <w:ilvl w:val="0"/>
          <w:numId w:val="0"/>
        </w:numPr>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第七章  科</w:t>
      </w:r>
      <w:r>
        <w:rPr>
          <w:rFonts w:hint="eastAsia" w:ascii="黑体" w:hAnsi="黑体" w:eastAsia="黑体" w:cs="黑体"/>
          <w:sz w:val="32"/>
          <w:szCs w:val="32"/>
          <w:highlight w:val="none"/>
        </w:rPr>
        <w:t>研经费报销</w:t>
      </w:r>
      <w:bookmarkEnd w:id="8"/>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本细则所指科研经费，是指纳入学校科研计划管理的横向、纵向和校内科研项目经费以及学生科研资助经费。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科研项目资金全部纳入学校财务统一管理，根据相关科研经费管理办法、委托方或科研合同的要求专款专用。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经费开支范围。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（一）设备费。是指在项目研究过程中购置或试制专用仪器设备，对现有仪器设备进行升级改造，以及租赁外单位仪器设备而发生的费用。科研经费购置的仪器、设备等固定资产。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材料费。指在项目研究开发过程中消耗的各种原材料、辅助材料、低值易耗品、专用工具、样品、用品的采购及运输、装卸、整理等费用。一次采购分次领用的物资应当建立物资台账，办理验收、领用与出库手续，由项目组指定材料保管员，负责材料出入库登记，并定期盘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（三）测试、加工费、协作费。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燃料动力费。是指在项目研究开发过程中相关大型仪器设备、专用科学装置等运行发生的可以单独计量的水、电、气、燃料消耗费用等。该开支不包括交通出行发生的汽车加油费。单独装表的按表计量计算；未单独装表的，按实验室专用设备用水、用电、用油的数量、单价、金额计量测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（五）数据采集费。指在项目研究过程中发生的问卷调查、数据跟踪采集、案例分析、采样等费用。</w:t>
      </w:r>
    </w:p>
    <w:p>
      <w:pPr>
        <w:numPr>
          <w:ilvl w:val="0"/>
          <w:numId w:val="0"/>
        </w:numPr>
        <w:ind w:firstLine="640" w:firstLineChars="200"/>
        <w:rPr>
          <w:rFonts w:hint="default" w:ascii="宋体" w:hAnsi="宋体" w:cs="宋体"/>
          <w:kern w:val="0"/>
          <w:sz w:val="28"/>
          <w:szCs w:val="28"/>
          <w:highlight w:val="yellow"/>
          <w:lang w:val="en-US" w:eastAsia="zh-CN"/>
        </w:rPr>
      </w:pPr>
      <w:r>
        <w:rPr>
          <w:rFonts w:hint="eastAsia" w:ascii="仿宋_GB2312" w:hAnsi="仿宋_GB2312" w:eastAsia="仿宋_GB2312" w:cs="仿宋_GB2312"/>
          <w:sz w:val="32"/>
          <w:szCs w:val="32"/>
          <w:lang w:val="en-US" w:eastAsia="zh-CN"/>
        </w:rPr>
        <w:t>（六）差旅费/会议费/国际合作与交流费。指在项目研究过程中开展学术研讨、咨询交流、野外考察调研等活动而发生的会议、交通、食宿等费用，以及项目研究人员出国及赴港澳台、外国专家来华及港澳台专家来内地开展学术合作与交流的费用。国际合作与交流费应当严格执行国家外事资金管理的有关规定。</w:t>
      </w:r>
    </w:p>
    <w:p>
      <w:pPr>
        <w:pStyle w:val="2"/>
        <w:jc w:val="center"/>
        <w:rPr>
          <w:rFonts w:hint="eastAsia" w:ascii="黑体" w:hAnsi="黑体" w:eastAsia="黑体" w:cs="黑体"/>
          <w:sz w:val="32"/>
          <w:szCs w:val="32"/>
        </w:rPr>
      </w:pPr>
      <w:bookmarkStart w:id="9" w:name="_Toc25870"/>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费用</w:t>
      </w:r>
      <w:r>
        <w:rPr>
          <w:rFonts w:hint="eastAsia" w:ascii="黑体" w:hAnsi="黑体" w:eastAsia="黑体" w:cs="黑体"/>
          <w:sz w:val="32"/>
          <w:szCs w:val="32"/>
        </w:rPr>
        <w:t>报销</w:t>
      </w:r>
      <w:r>
        <w:rPr>
          <w:rFonts w:hint="eastAsia" w:ascii="黑体" w:hAnsi="黑体" w:eastAsia="黑体" w:cs="黑体"/>
          <w:sz w:val="32"/>
          <w:szCs w:val="32"/>
          <w:lang w:val="en-US" w:eastAsia="zh-CN"/>
        </w:rPr>
        <w:t>时效</w:t>
      </w:r>
      <w:r>
        <w:rPr>
          <w:rFonts w:hint="eastAsia" w:ascii="黑体" w:hAnsi="黑体" w:eastAsia="黑体" w:cs="黑体"/>
          <w:sz w:val="32"/>
          <w:szCs w:val="32"/>
        </w:rPr>
        <w:t>的具体规定</w:t>
      </w:r>
      <w:bookmarkEnd w:id="9"/>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为了协调学校对内、对外的业务工作安排，方便员工费用报销，财务处将报销时间规定如下：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报销以“月”为单位，并附相关凭证，不得几月凭证粘于一起，否则财务处将予以退单处理。当月发生的费用应尽量在当月报销，最晚不得超过发生月份的次月，如逾期须经校领导书面批准。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2.报销费用时提供的发票标注的日期原则上本年度内报销。</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3.机打发票原则上必须有本单位的名称全称及正确的纳税识别号，发票上必须盖有出票单位的发票专用章。</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4.手撕定额发票必须盖有出票单位的发票专用章且一定要清晰可见单位名称。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5.关于横向课题的报销请于结题日起两个月内完成相关报销手续，如果遇到跨年的，必须在次年开学之后一个月内报销。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6.有借款的必须做到专项借款专项使用，没有用完的借款须在报销时一并交回财务处冲账，年终原则上要把本人名下的借款全部清零，如有特殊情况的请部门领导提供说明文件备案。</w:t>
      </w:r>
    </w:p>
    <w:p>
      <w:pPr>
        <w:pStyle w:val="2"/>
        <w:jc w:val="center"/>
        <w:rPr>
          <w:rFonts w:hint="eastAsia" w:eastAsia="宋体"/>
          <w:lang w:val="en-US" w:eastAsia="zh-CN"/>
        </w:rPr>
      </w:pPr>
      <w:bookmarkStart w:id="10" w:name="_Toc27326"/>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章 附则</w:t>
      </w:r>
      <w:bookmarkEnd w:id="10"/>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本规定未作规定的，依照《中华人民共和国会计法》及其他有关法律法规执行。</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第二十七条 本制度财务报销制度及报销流程解释权归学校财务处。 </w:t>
      </w:r>
    </w:p>
    <w:p>
      <w:pPr>
        <w:numPr>
          <w:ilvl w:val="0"/>
          <w:numId w:val="0"/>
        </w:numPr>
        <w:ind w:firstLine="640" w:firstLineChars="200"/>
      </w:pPr>
      <w:r>
        <w:rPr>
          <w:rFonts w:hint="eastAsia" w:ascii="仿宋_GB2312" w:hAnsi="仿宋_GB2312" w:eastAsia="仿宋_GB2312" w:cs="仿宋_GB2312"/>
          <w:sz w:val="32"/>
          <w:szCs w:val="32"/>
          <w:lang w:val="en-US" w:eastAsia="zh-CN"/>
        </w:rPr>
        <w:t>第二十八条 本制度经校长办公会议讨论通过并由校长签字后生效。</w:t>
      </w:r>
    </w:p>
    <w:p/>
    <w:p/>
    <w:sectPr>
      <w:footerReference r:id="rId3" w:type="default"/>
      <w:pgSz w:w="11906" w:h="16838"/>
      <w:pgMar w:top="1440" w:right="1416" w:bottom="1440"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0823924"/>
      <w:docPartObj>
        <w:docPartGallery w:val="autotext"/>
      </w:docPartObj>
    </w:sdtPr>
    <w:sdtContent>
      <w:p>
        <w:pPr>
          <w:pStyle w:val="6"/>
          <w:jc w:val="right"/>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6</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23</w:t>
        </w:r>
        <w:r>
          <w:fldChar w:fldCharType="end"/>
        </w:r>
        <w:r>
          <w:rPr>
            <w:rFonts w:hint="eastAsia"/>
          </w:rPr>
          <w:t>页</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02F01"/>
    <w:multiLevelType w:val="singleLevel"/>
    <w:tmpl w:val="2F202F0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OGQ2NWQxMGUyNmM5ZDVhZGFlNWU4N2NhMGQ2NzMifQ=="/>
  </w:docVars>
  <w:rsids>
    <w:rsidRoot w:val="00172A27"/>
    <w:rsid w:val="00005BFF"/>
    <w:rsid w:val="00031D8D"/>
    <w:rsid w:val="00043347"/>
    <w:rsid w:val="00057E9D"/>
    <w:rsid w:val="000A70D8"/>
    <w:rsid w:val="0012725C"/>
    <w:rsid w:val="001353B6"/>
    <w:rsid w:val="00150D8A"/>
    <w:rsid w:val="00227738"/>
    <w:rsid w:val="002D1AFF"/>
    <w:rsid w:val="003322C9"/>
    <w:rsid w:val="00361491"/>
    <w:rsid w:val="004502F2"/>
    <w:rsid w:val="004911F4"/>
    <w:rsid w:val="004A47A4"/>
    <w:rsid w:val="004C22A5"/>
    <w:rsid w:val="00572596"/>
    <w:rsid w:val="005D240B"/>
    <w:rsid w:val="005F2339"/>
    <w:rsid w:val="0065110A"/>
    <w:rsid w:val="00774F08"/>
    <w:rsid w:val="00796405"/>
    <w:rsid w:val="0089525B"/>
    <w:rsid w:val="008E04A7"/>
    <w:rsid w:val="009A3216"/>
    <w:rsid w:val="00A61D4C"/>
    <w:rsid w:val="00A80215"/>
    <w:rsid w:val="00B239BC"/>
    <w:rsid w:val="00B66F17"/>
    <w:rsid w:val="00BA2C2E"/>
    <w:rsid w:val="00BD181A"/>
    <w:rsid w:val="00D9238A"/>
    <w:rsid w:val="00D938C5"/>
    <w:rsid w:val="00DD2D80"/>
    <w:rsid w:val="00DF5507"/>
    <w:rsid w:val="00E2278A"/>
    <w:rsid w:val="00EF5C93"/>
    <w:rsid w:val="00EF7273"/>
    <w:rsid w:val="00F004DE"/>
    <w:rsid w:val="00F02255"/>
    <w:rsid w:val="00FA07CD"/>
    <w:rsid w:val="00FF1B53"/>
    <w:rsid w:val="03A759CA"/>
    <w:rsid w:val="03E9005C"/>
    <w:rsid w:val="0D3C2B73"/>
    <w:rsid w:val="0D881573"/>
    <w:rsid w:val="0DFA24DD"/>
    <w:rsid w:val="0E700B96"/>
    <w:rsid w:val="0E98550B"/>
    <w:rsid w:val="0EE7435D"/>
    <w:rsid w:val="119E4487"/>
    <w:rsid w:val="128B2877"/>
    <w:rsid w:val="12D220D7"/>
    <w:rsid w:val="169A767F"/>
    <w:rsid w:val="17B31280"/>
    <w:rsid w:val="1837186A"/>
    <w:rsid w:val="18B828C6"/>
    <w:rsid w:val="19F24A07"/>
    <w:rsid w:val="1AFF2A2E"/>
    <w:rsid w:val="1BAD3434"/>
    <w:rsid w:val="1C3D380E"/>
    <w:rsid w:val="1DB001FD"/>
    <w:rsid w:val="1DCA1944"/>
    <w:rsid w:val="1E02421B"/>
    <w:rsid w:val="20627F65"/>
    <w:rsid w:val="20FF7A6E"/>
    <w:rsid w:val="2142418C"/>
    <w:rsid w:val="22727B0E"/>
    <w:rsid w:val="23517B9F"/>
    <w:rsid w:val="23B26890"/>
    <w:rsid w:val="26B03371"/>
    <w:rsid w:val="28215D92"/>
    <w:rsid w:val="292D27EB"/>
    <w:rsid w:val="293279A6"/>
    <w:rsid w:val="29EB1077"/>
    <w:rsid w:val="2AAA5CBA"/>
    <w:rsid w:val="30597F15"/>
    <w:rsid w:val="31666F0B"/>
    <w:rsid w:val="33442F56"/>
    <w:rsid w:val="35FC7E3E"/>
    <w:rsid w:val="37D12B01"/>
    <w:rsid w:val="38DD0065"/>
    <w:rsid w:val="3A69353A"/>
    <w:rsid w:val="3E4B1963"/>
    <w:rsid w:val="3E4C19F3"/>
    <w:rsid w:val="3E907B04"/>
    <w:rsid w:val="40D01E95"/>
    <w:rsid w:val="41B44172"/>
    <w:rsid w:val="42E24FE9"/>
    <w:rsid w:val="469C4936"/>
    <w:rsid w:val="4B8D5369"/>
    <w:rsid w:val="4C853291"/>
    <w:rsid w:val="4C88610C"/>
    <w:rsid w:val="50DE2CF9"/>
    <w:rsid w:val="515018E8"/>
    <w:rsid w:val="52587E51"/>
    <w:rsid w:val="53065B18"/>
    <w:rsid w:val="54944861"/>
    <w:rsid w:val="54A15C62"/>
    <w:rsid w:val="56B00EBB"/>
    <w:rsid w:val="58B51482"/>
    <w:rsid w:val="59350DEE"/>
    <w:rsid w:val="5B7E7C0D"/>
    <w:rsid w:val="5C085CC5"/>
    <w:rsid w:val="5E127025"/>
    <w:rsid w:val="60AA4FE3"/>
    <w:rsid w:val="68D95BD7"/>
    <w:rsid w:val="6A527A52"/>
    <w:rsid w:val="6B440B1C"/>
    <w:rsid w:val="6C7C4487"/>
    <w:rsid w:val="6CAC11EB"/>
    <w:rsid w:val="70843A38"/>
    <w:rsid w:val="70FF5B11"/>
    <w:rsid w:val="710D6239"/>
    <w:rsid w:val="712A488E"/>
    <w:rsid w:val="762E28AB"/>
    <w:rsid w:val="765E6E25"/>
    <w:rsid w:val="79E03EC2"/>
    <w:rsid w:val="7A990D85"/>
    <w:rsid w:val="7CCC5441"/>
    <w:rsid w:val="7E33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
    <w:pPr>
      <w:keepNext/>
      <w:keepLines/>
      <w:spacing w:before="60" w:after="60"/>
      <w:outlineLvl w:val="0"/>
    </w:pPr>
    <w:rPr>
      <w:rFonts w:eastAsia="方正小标宋简体"/>
      <w:bCs/>
      <w:kern w:val="44"/>
      <w:sz w:val="36"/>
      <w:szCs w:val="44"/>
    </w:rPr>
  </w:style>
  <w:style w:type="paragraph" w:styleId="3">
    <w:name w:val="heading 2"/>
    <w:basedOn w:val="1"/>
    <w:next w:val="1"/>
    <w:link w:val="30"/>
    <w:semiHidden/>
    <w:unhideWhenUsed/>
    <w:qFormat/>
    <w:uiPriority w:val="9"/>
    <w:pPr>
      <w:keepNext/>
      <w:keepLines/>
      <w:jc w:val="left"/>
      <w:outlineLvl w:val="1"/>
    </w:pPr>
    <w:rPr>
      <w:rFonts w:asciiTheme="majorHAnsi" w:hAnsiTheme="majorHAnsi" w:eastAsiaTheme="majorEastAsia" w:cstheme="majorBidi"/>
      <w:b/>
      <w:bCs/>
      <w:sz w:val="3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Microsoft YaHei UI" w:eastAsia="Microsoft YaHei UI"/>
      <w:sz w:val="18"/>
      <w:szCs w:val="18"/>
    </w:rPr>
  </w:style>
  <w:style w:type="paragraph" w:styleId="5">
    <w:name w:val="annotation text"/>
    <w:basedOn w:val="1"/>
    <w:qFormat/>
    <w:uiPriority w:val="0"/>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31"/>
    <w:qFormat/>
    <w:uiPriority w:val="10"/>
    <w:pPr>
      <w:spacing w:before="40" w:after="40"/>
      <w:outlineLvl w:val="2"/>
    </w:pPr>
    <w:rPr>
      <w:rFonts w:asciiTheme="majorHAnsi" w:hAnsiTheme="majorHAnsi" w:eastAsiaTheme="majorEastAsia" w:cstheme="majorBidi"/>
      <w:b/>
      <w:bCs/>
      <w:sz w:val="28"/>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99"/>
    <w:rPr>
      <w:color w:val="0000FF"/>
      <w:u w:val="single"/>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paragraph" w:customStyle="1" w:styleId="18">
    <w:name w:val="Char Char Char Char Char Char Char"/>
    <w:basedOn w:val="4"/>
    <w:qFormat/>
    <w:uiPriority w:val="0"/>
    <w:pPr>
      <w:shd w:val="clear" w:color="auto" w:fill="000080"/>
      <w:adjustRightInd w:val="0"/>
      <w:spacing w:line="436" w:lineRule="exact"/>
      <w:ind w:left="357"/>
      <w:jc w:val="left"/>
      <w:outlineLvl w:val="3"/>
    </w:pPr>
    <w:rPr>
      <w:rFonts w:hint="eastAsia" w:ascii="Times New Roman" w:eastAsia="宋体"/>
      <w:sz w:val="21"/>
      <w:szCs w:val="20"/>
    </w:rPr>
  </w:style>
  <w:style w:type="character" w:customStyle="1" w:styleId="19">
    <w:name w:val="文档结构图 字符"/>
    <w:basedOn w:val="13"/>
    <w:link w:val="4"/>
    <w:semiHidden/>
    <w:qFormat/>
    <w:uiPriority w:val="99"/>
    <w:rPr>
      <w:rFonts w:ascii="Microsoft YaHei UI" w:hAnsi="Times New Roman" w:eastAsia="Microsoft YaHei UI" w:cs="Times New Roman"/>
      <w:sz w:val="18"/>
      <w:szCs w:val="18"/>
    </w:rPr>
  </w:style>
  <w:style w:type="paragraph" w:customStyle="1" w:styleId="20">
    <w:name w:val="主标题"/>
    <w:basedOn w:val="2"/>
    <w:link w:val="22"/>
    <w:qFormat/>
    <w:uiPriority w:val="0"/>
    <w:pPr>
      <w:spacing w:line="720" w:lineRule="exact"/>
      <w:ind w:right="-567" w:rightChars="-270"/>
      <w:jc w:val="right"/>
    </w:pPr>
    <w:rPr>
      <w:rFonts w:ascii="微软雅黑" w:hAnsi="微软雅黑" w:eastAsia="微软雅黑"/>
      <w:b/>
      <w:color w:val="FFFFFF" w:themeColor="background1"/>
      <w:sz w:val="80"/>
      <w:szCs w:val="80"/>
      <w14:textFill>
        <w14:solidFill>
          <w14:schemeClr w14:val="bg1"/>
        </w14:solidFill>
      </w14:textFill>
    </w:rPr>
  </w:style>
  <w:style w:type="paragraph" w:customStyle="1" w:styleId="21">
    <w:name w:val="副标题1"/>
    <w:basedOn w:val="1"/>
    <w:link w:val="24"/>
    <w:qFormat/>
    <w:uiPriority w:val="0"/>
    <w:pPr>
      <w:spacing w:line="540" w:lineRule="exact"/>
      <w:jc w:val="center"/>
    </w:pPr>
    <w:rPr>
      <w:rFonts w:ascii="楷体_GB2312" w:hAnsi="楷体_GB2312" w:eastAsia="楷体_GB2312"/>
      <w:sz w:val="30"/>
    </w:rPr>
  </w:style>
  <w:style w:type="character" w:customStyle="1" w:styleId="22">
    <w:name w:val="主标题 字符"/>
    <w:basedOn w:val="13"/>
    <w:link w:val="20"/>
    <w:qFormat/>
    <w:uiPriority w:val="0"/>
    <w:rPr>
      <w:rFonts w:ascii="微软雅黑" w:hAnsi="微软雅黑" w:eastAsia="微软雅黑" w:cs="Times New Roman"/>
      <w:b/>
      <w:bCs/>
      <w:color w:val="FFFFFF" w:themeColor="background1"/>
      <w:kern w:val="44"/>
      <w:sz w:val="80"/>
      <w:szCs w:val="80"/>
      <w14:textFill>
        <w14:solidFill>
          <w14:schemeClr w14:val="bg1"/>
        </w14:solidFill>
      </w14:textFill>
    </w:rPr>
  </w:style>
  <w:style w:type="paragraph" w:customStyle="1" w:styleId="23">
    <w:name w:val="正文1"/>
    <w:basedOn w:val="1"/>
    <w:link w:val="26"/>
    <w:qFormat/>
    <w:uiPriority w:val="0"/>
    <w:pPr>
      <w:spacing w:line="540" w:lineRule="exact"/>
      <w:ind w:firstLine="200" w:firstLineChars="200"/>
    </w:pPr>
    <w:rPr>
      <w:rFonts w:ascii="仿宋_GB2312" w:hAnsi="仿宋_GB2312" w:eastAsia="仿宋_GB2312"/>
      <w:sz w:val="30"/>
    </w:rPr>
  </w:style>
  <w:style w:type="character" w:customStyle="1" w:styleId="24">
    <w:name w:val="副标题1 字符"/>
    <w:basedOn w:val="13"/>
    <w:link w:val="21"/>
    <w:qFormat/>
    <w:uiPriority w:val="0"/>
    <w:rPr>
      <w:rFonts w:ascii="楷体_GB2312" w:hAnsi="楷体_GB2312" w:eastAsia="楷体_GB2312" w:cs="Times New Roman"/>
      <w:sz w:val="30"/>
      <w:szCs w:val="20"/>
    </w:rPr>
  </w:style>
  <w:style w:type="character" w:styleId="25">
    <w:name w:val="Placeholder Text"/>
    <w:basedOn w:val="13"/>
    <w:semiHidden/>
    <w:qFormat/>
    <w:uiPriority w:val="99"/>
    <w:rPr>
      <w:color w:val="808080"/>
    </w:rPr>
  </w:style>
  <w:style w:type="character" w:customStyle="1" w:styleId="26">
    <w:name w:val="正文1 字符"/>
    <w:basedOn w:val="13"/>
    <w:link w:val="23"/>
    <w:qFormat/>
    <w:uiPriority w:val="0"/>
    <w:rPr>
      <w:rFonts w:ascii="仿宋_GB2312" w:hAnsi="仿宋_GB2312" w:eastAsia="仿宋_GB2312" w:cs="Times New Roman"/>
      <w:sz w:val="30"/>
      <w:szCs w:val="20"/>
    </w:rPr>
  </w:style>
  <w:style w:type="character" w:customStyle="1" w:styleId="27">
    <w:name w:val="标题 1 字符"/>
    <w:basedOn w:val="13"/>
    <w:link w:val="2"/>
    <w:qFormat/>
    <w:uiPriority w:val="9"/>
    <w:rPr>
      <w:rFonts w:ascii="Times New Roman" w:hAnsi="Times New Roman" w:eastAsia="方正小标宋简体" w:cs="Times New Roman"/>
      <w:bCs/>
      <w:kern w:val="44"/>
      <w:sz w:val="36"/>
      <w:szCs w:val="44"/>
    </w:rPr>
  </w:style>
  <w:style w:type="paragraph" w:customStyle="1" w:styleId="28">
    <w:name w:val="正文2"/>
    <w:basedOn w:val="1"/>
    <w:link w:val="29"/>
    <w:qFormat/>
    <w:uiPriority w:val="0"/>
    <w:pPr>
      <w:spacing w:line="440" w:lineRule="exact"/>
      <w:ind w:firstLine="200" w:firstLineChars="200"/>
    </w:pPr>
    <w:rPr>
      <w:rFonts w:ascii="微软雅黑" w:hAnsi="微软雅黑" w:eastAsia="微软雅黑"/>
      <w:sz w:val="22"/>
    </w:rPr>
  </w:style>
  <w:style w:type="character" w:customStyle="1" w:styleId="29">
    <w:name w:val="正文2 字符"/>
    <w:basedOn w:val="13"/>
    <w:link w:val="28"/>
    <w:qFormat/>
    <w:uiPriority w:val="0"/>
    <w:rPr>
      <w:rFonts w:ascii="微软雅黑" w:hAnsi="微软雅黑" w:eastAsia="微软雅黑" w:cs="Times New Roman"/>
      <w:sz w:val="22"/>
      <w:szCs w:val="20"/>
    </w:rPr>
  </w:style>
  <w:style w:type="character" w:customStyle="1" w:styleId="30">
    <w:name w:val="标题 2 字符"/>
    <w:basedOn w:val="13"/>
    <w:link w:val="3"/>
    <w:semiHidden/>
    <w:qFormat/>
    <w:uiPriority w:val="9"/>
    <w:rPr>
      <w:rFonts w:asciiTheme="majorHAnsi" w:hAnsiTheme="majorHAnsi" w:eastAsiaTheme="majorEastAsia" w:cstheme="majorBidi"/>
      <w:b/>
      <w:bCs/>
      <w:sz w:val="30"/>
      <w:szCs w:val="32"/>
    </w:rPr>
  </w:style>
  <w:style w:type="character" w:customStyle="1" w:styleId="31">
    <w:name w:val="标题 字符"/>
    <w:basedOn w:val="13"/>
    <w:link w:val="10"/>
    <w:qFormat/>
    <w:uiPriority w:val="10"/>
    <w:rPr>
      <w:rFonts w:asciiTheme="majorHAnsi" w:hAnsiTheme="majorHAnsi" w:eastAsiaTheme="majorEastAsia" w:cstheme="majorBidi"/>
      <w:b/>
      <w:bCs/>
      <w:sz w:val="28"/>
      <w:szCs w:val="32"/>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34">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列出段落1"/>
    <w:basedOn w:val="1"/>
    <w:qFormat/>
    <w:uiPriority w:val="34"/>
    <w:pPr>
      <w:ind w:firstLine="420" w:firstLineChars="200"/>
    </w:p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C6C97-DB93-497E-80EB-E85E1D87C22C}">
  <ds:schemaRefs/>
</ds:datastoreItem>
</file>

<file path=docProps/app.xml><?xml version="1.0" encoding="utf-8"?>
<Properties xmlns="http://schemas.openxmlformats.org/officeDocument/2006/extended-properties" xmlns:vt="http://schemas.openxmlformats.org/officeDocument/2006/docPropsVTypes">
  <Template>财务会计报销制度及报销流程.docx</Template>
  <Pages>14</Pages>
  <Words>6110</Words>
  <Characters>6217</Characters>
  <Lines>76</Lines>
  <Paragraphs>21</Paragraphs>
  <TotalTime>43</TotalTime>
  <ScaleCrop>false</ScaleCrop>
  <LinksUpToDate>false</LinksUpToDate>
  <CharactersWithSpaces>6386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2020-05-19T06:28:00Z</dcterms:created>
  <dc:creator>守望幸福</dc:creator>
  <cp:lastModifiedBy>守望幸福</cp:lastModifiedBy>
  <cp:lastPrinted>2020-06-29T07:38:00Z</cp:lastPrinted>
  <dcterms:modified xsi:type="dcterms:W3CDTF">2023-11-07T08:10:14Z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B45891B732114CF08B04407CDB860391_13</vt:lpwstr>
  </property>
</Properties>
</file>