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C2" w:rsidRDefault="005A26C2" w:rsidP="005A26C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3F3F3F"/>
          <w:sz w:val="36"/>
          <w:szCs w:val="36"/>
          <w:shd w:val="clear" w:color="auto" w:fill="FFFFFF"/>
        </w:rPr>
        <w:t>省社科联关于印发《贵州省理论创新课题管理办法》的通知</w:t>
      </w:r>
      <w:hyperlink r:id="rId4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http://www.gzskl.gov.cn/skyj/ktyj/202304/t20230404_78883964.html</w:t>
        </w:r>
      </w:hyperlink>
    </w:p>
    <w:p w:rsidR="00F331ED" w:rsidRDefault="00F331ED">
      <w:bookmarkStart w:id="0" w:name="_GoBack"/>
      <w:bookmarkEnd w:id="0"/>
    </w:p>
    <w:sectPr w:rsidR="00F3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C9"/>
    <w:rsid w:val="002F52C9"/>
    <w:rsid w:val="005A26C2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CC9A5-053F-480E-8507-75C2B93D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2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zskl.gov.cn/skyj/ktyj/202304/t20230404_7888396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2023-06-27T07:25:00Z</dcterms:created>
  <dcterms:modified xsi:type="dcterms:W3CDTF">2023-06-27T07:26:00Z</dcterms:modified>
</cp:coreProperties>
</file>